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宋体" w:hAnsi="宋体" w:eastAsia="宋体" w:cs="宋体"/>
          <w:b/>
          <w:bCs/>
          <w:i w:val="0"/>
          <w:iCs w:val="0"/>
          <w:caps w:val="0"/>
          <w:color w:val="333333"/>
          <w:spacing w:val="0"/>
          <w:sz w:val="36"/>
          <w:szCs w:val="36"/>
          <w:bdr w:val="none" w:color="auto" w:sz="0" w:space="0"/>
          <w:shd w:val="clear" w:fill="FFFFFF"/>
        </w:rPr>
      </w:pPr>
      <w:r>
        <w:rPr>
          <w:rFonts w:hint="eastAsia" w:ascii="宋体" w:hAnsi="宋体" w:eastAsia="宋体" w:cs="宋体"/>
          <w:b/>
          <w:bCs/>
          <w:i w:val="0"/>
          <w:iCs w:val="0"/>
          <w:caps w:val="0"/>
          <w:color w:val="333333"/>
          <w:spacing w:val="0"/>
          <w:sz w:val="36"/>
          <w:szCs w:val="36"/>
          <w:bdr w:val="none" w:color="auto" w:sz="0" w:space="0"/>
          <w:shd w:val="clear" w:fill="FFFFFF"/>
        </w:rPr>
        <w:t>中共中央办公厅 国务院办公厅印发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宋体" w:hAnsi="宋体" w:eastAsia="宋体" w:cs="宋体"/>
          <w:b/>
          <w:bCs/>
          <w:i w:val="0"/>
          <w:iCs w:val="0"/>
          <w:caps w:val="0"/>
          <w:color w:val="333333"/>
          <w:spacing w:val="0"/>
          <w:sz w:val="36"/>
          <w:szCs w:val="36"/>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《关于推动现代职业教育高质量发展的意见》</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center"/>
        <w:rPr>
          <w:rFonts w:hint="eastAsia" w:ascii="宋体" w:hAnsi="宋体" w:eastAsia="宋体" w:cs="宋体"/>
          <w:i w:val="0"/>
          <w:iCs w:val="0"/>
          <w:caps w:val="0"/>
          <w:color w:val="898989"/>
          <w:spacing w:val="0"/>
          <w:sz w:val="21"/>
          <w:szCs w:val="21"/>
        </w:rPr>
      </w:pPr>
      <w:r>
        <w:rPr>
          <w:rFonts w:hint="eastAsia" w:ascii="宋体" w:hAnsi="宋体" w:eastAsia="宋体" w:cs="宋体"/>
          <w:i w:val="0"/>
          <w:iCs w:val="0"/>
          <w:caps w:val="0"/>
          <w:color w:val="898989"/>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898989"/>
          <w:spacing w:val="0"/>
          <w:sz w:val="21"/>
          <w:szCs w:val="21"/>
          <w:u w:val="none"/>
        </w:rPr>
      </w:pP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898989"/>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u w:val="none"/>
          <w:bdr w:val="none" w:color="auto" w:sz="0" w:space="0"/>
          <w:shd w:val="clear" w:fill="FFFFFF"/>
          <w:lang w:val="en-US" w:eastAsia="zh-CN" w:bidi="ar"/>
        </w:rPr>
        <w:t> </w:t>
      </w:r>
      <w:r>
        <w:rPr>
          <w:rFonts w:hint="eastAsia" w:ascii="宋体" w:hAnsi="宋体" w:eastAsia="宋体" w:cs="宋体"/>
          <w:i w:val="0"/>
          <w:iCs w:val="0"/>
          <w:caps w:val="0"/>
          <w:color w:val="898989"/>
          <w:spacing w:val="0"/>
          <w:kern w:val="0"/>
          <w:sz w:val="21"/>
          <w:szCs w:val="21"/>
          <w:u w:val="none"/>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新华社北京10月12日电 近日，中共中央办公厅、国务院办公厅印发了《关于推动现代职业教育高质量发展的意见》，并发出通知，要求各地区各部门结合实际认真贯彻落实。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《关于推动现代职业教育高质量发展的意见》主要内容如下。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职业教育是国民教育体系和人力资源开发的重要组成部分，肩负着培养多样化人才、传承技术技能、促进就业创业的重要职责。在全面建设社会主义现代化国家新征程中，职业教育前途广阔、大有可为。为贯彻落实全国职业教育大会精神，推动现代职业教育高质量发展，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指导思想。以习近平新时代中国特色社会主义思想为指导，深入贯彻党的十九大和十九届二中、三中、四中、五中全会精神，坚持党的领导，坚持正确办学方向，坚持立德树人，优化类型定位，深入推进育人方式、办学模式、管理体制、保障机制改革，切实增强职业教育适应性，加快构建现代职业教育体系，建设技能型社会，弘扬工匠精神，培养更多高素质技术技能人才、能工巧匠、大国工匠，为全面建设社会主义现代化国家提供有力人才和技能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工作要求。坚持立德树人、德技并修，推动思想政治教育与技术技能培养融合统一；坚持产教融合、校企合作，推动形成产教良性互动、校企优势互补的发展格局；坚持面向市场、促进就业，推动学校布局、专业设置、人才培养与市场需求相对接；坚持面向实践、强化能力，让更多青年凭借一技之长实现人生价值；坚持面向人人、因材施教，营造人人努力成才、人人皆可成才、人人尽展其才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2025年，职业教育类型特色更加鲜明，现代职业教育体系基本建成，技能型社会建设全面推进。办学格局更加优化，办学条件大幅改善，职业本科教育招生规模不低于高等职业教育招生规模的10%，职业教育吸引力和培养质量显著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到2035年，职业教育整体水平进入世界前列，技能型社会基本建成。技术技能人才社会地位大幅提升，职业教育供给与经济社会发展需求高度匹配，在全面建设社会主义现代化国家中的作用显著增强。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二、强化职业教育类型特色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巩固职业教育类型定位。因地制宜、统筹推进职业教育与普通教育协调发展。加快建立“职教高考”制度，完善“文化素质+职业技能”考试招生办法，加强省级统筹，确保公平公正。加强职业教育理论研究，及时总结中国特色职业教育办学规律和制度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推进不同层次职业教育纵向贯通。大力提升中等职业教育办学质量，优化布局结构，实施中等职业学校办学条件达标工程，采取合并、合作、托管、集团办学等措施，建设一批优秀中等职业学校和优质专业，注重为高等职业教育输送具有扎实技术技能基础和合格文化基础的生源。支持有条件的中等职业学校根据当地经济社会发展需要试办社区学院。推进高等职业教育提质培优，实施好“双高计划”，集中力量建设一批高水平高等职业学校和专业。稳步发展职业本科教育，高标准建设职业本科学校和专业，保持职业教育办学方向不变、培养模式不变、特色发展不变。一体化设计职业教育人才培养体系，推动各层次职业教育专业设置、培养目标、课程体系、培养方案衔接，支持在培养周期长、技能要求高的专业领域实施长学制培养。鼓励应用型本科学校开展职业本科教育。按照专业大致对口原则，指导应用型本科学校、职业本科学校吸引更多中高职毕业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促进不同类型教育横向融通。加强各学段普通教育与职业教育渗透融通，在普通中小学实施职业启蒙教育，培养掌握技能的兴趣爱好和职业生涯规划的意识能力。探索发展以专项技能培养为主的特色综合高中。推动中等职业学校与普通高中、高等职业学校与应用型大学课程互选、学分互认。鼓励职业学校开展补贴性培训和市场化社会培训。制定国家资历框架，建设职业教育国家学分银行，实现各类学习成果的认证、积累和转换，加快构建服务全民终身学习的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三、完善产教融合办学体制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优化职业教育供给结构。围绕国家重大战略，紧密对接产业升级和技术变革趋势，优先发展先进制造、新能源、新材料、现代农业、现代信息技术、生物技术、人工智能等产业需要的一批新兴专业，加快建设学前、护理、康养、家政等一批人才紧缺的专业，改造升级钢铁冶金、化工医药、建筑工程、轻纺制造等一批传统专业，撤并淘汰供给过剩、就业率低、职业岗位消失的专业，鼓励学校开设更多紧缺的、符合市场需求的专业，形成紧密对接产业链、创新链的专业体系。优化区域资源配置，推进部省共建职业教育创新发展高地，持续深化职业教育东西部协作。启动实施技能型社会职业教育体系建设地方试点。支持办好面向农村的职业教育，强化校地合作、育训结合，加快培养乡村振兴人才，鼓励更多农民、返乡农民工接受职业教育。支持行业企业开展技术技能人才培养培训，推行终身职业技能培训制度和在岗继续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健全多元办学格局。构建政府统筹管理、行业企业积极举办、社会力量深度参与的多元办学格局。健全国有资产评估、产权流转、权益分配、干部人事管理等制度。鼓励上市公司、行业龙头企业举办职业教育，鼓励各类企业依法参与举办职业教育。鼓励职业学校与社会资本合作共建职业教育基础设施、实训基地，共建共享公共实训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协同推进产教深度融合。各级政府要统筹职业教育和人力资源开发的规模、结构和层次，将产教融合列入经济社会发展规划。以城市为节点、行业为支点、企业为重点，建设一批产教融合试点城市，打造一批引领产教融合的标杆行业，培育一批行业领先的产教融合型企业。积极培育市场导向、供需匹配、服务精准、运作规范的产教融合服务组织。分级分类编制发布产业结构动态调整报告、行业人才就业状况和需求预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四、创新校企合作办学机制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丰富职业学校办学形态。职业学校要积极与优质企业开展双边多边技术协作，共建技术技能创新平台、专业化技术转移机构和大学科技园、科技企业孵化器、众创空间，服务地方中小微企业技术升级和产品研发。推动职业学校在企业设立实习实训基地、企业在职业学校建设培养培训基地。推动校企共建共管产业学院、企业学院，延伸职业学校办学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拓展校企合作形式内容。职业学校要主动吸纳行业龙头企业深度参与职业教育专业规划、课程设置、教材开发、教学设计、教学实施，合作共建新专业、开发新课程、开展订单培养。鼓励行业龙头企业主导建立全国性、行业性职教集团，推进实体化运作。探索中国特色学徒制，大力培养技术技能人才。支持企业接收学生实习实训，引导企业按岗位总量的一定比例设立学徒岗位。严禁向学生违规收取实习实训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优化校企合作政策环境。各地要把促进企业参与校企合作、培养技术技能人才作为产业发展规划、产业激励政策、乡村振兴规划制定的重要内容，对产教融合型企业给予“金融+财政+土地+信用”组合式激励，按规定落实相关税费政策。工业和信息化部门要把企业参与校企合作的情况，作为各类示范企业评选的重要参考。教育、人力资源社会保障部门要把校企合作成效作为评价职业学校办学质量的重要内容。国有资产监督管理机构要支持企业参与和举办职业教育。鼓励金融机构依法依规为校企合作提供相关信贷和融资支持。积极探索职业学校实习生参加工伤保险办法。加快发展职业学校学生实习实训责任保险和人身意外伤害保险，鼓励保险公司对现代学徒制、企业新型学徒制保险专门确定费率。职业学校通过校企合作、技术服务、社会培训、自办企业等所得收入，可按一定比例作为绩效工资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五、深化教育教学改革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强化双师型教师队伍建设。加强师德师风建设，全面提升教师素养。完善职业教育教师资格认定制度，在国家教师资格考试中强化专业教学和实践要求。制定双师型教师标准，完善教师招聘、专业技术职务评聘和绩效考核标准。按照职业学校生师比例和结构要求配齐专业教师。加强职业技术师范学校建设。支持高水平学校和大中型企业共建双师型教师培养培训基地，落实教师定期到企业实践的规定，支持企业技术骨干到学校从教，推进固定岗与流动岗相结合、校企互聘兼职的教师队伍建设改革。继续实施职业院校教师素质提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创新教学模式与方法。提高思想政治理论课质量和实效，推进习近平新时代中国特色社会主义思想进教材、进课堂、进头脑。举办职业学校思想政治教育课程教师教学能力比赛。普遍开展项目教学、情境教学、模块化教学，推动现代信息技术与教育教学深度融合，提高课堂教学质量。全面实施弹性学习和学分制管理，支持学生积极参加社会实践、创新创业、竞赛活动。办好全国职业院校技能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改进教学内容与教材。完善“岗课赛证”综合育人机制，按照生产实际和岗位需求设计开发课程，开发模块化、系统化的实训课程体系，提升学生实践能力。深入实施职业技能等级证书制度，完善认证管理办法，加强事中事后监管。及时更新教学标准，将新技术、新工艺、新规范、典型生产案例及时纳入教学内容。把职业技能等级证书所体现的先进标准融入人才培养方案。强化教材建设国家事权，分层规划，完善职业教育教材的编写、审核、选用、使用、更新、评价监管机制。引导地方、行业和学校按规定建设地方特色教材、行业适用教材、校本专业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六）完善质量保证体系。建立健全教师、课程、教材、教学、实习实训、信息化、安全等国家职业教育标准，鼓励地方结合实际出台更高要求的地方标准，支持行业组织、龙头企业参与制定标准。推进职业学校教学工作诊断与改进制度建设。完善职业教育督导评估办法，加强对地方政府履行职业教育职责督导，做好中等职业学校办学能力评估和高等职业学校适应社会需求能力评估。健全国家、省、学校质量年报制度，定期组织质量年报的审查抽查，提高编制水平，加大公开力度。强化评价结果运用，将其作为批复学校设置、核定招生计划、安排重大项目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六、打造中国特色职业教育品牌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七）提升中外合作办学水平。办好一批示范性中外合作办学机构和项目。加强与国际高水平职业教育机构和组织合作，开展学术研究、标准研制、人员交流。在“留学中国”项目、中国政府奖学金项目中设置职业教育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八）拓展中外合作交流平台。全方位践行世界技能组织2025战略，加强与联合国教科文组织等国际和地区组织的合作。鼓励开放大学建设海外学习中心，推进职业教育涉外行业组织建设，实施职业学校教师教学创新团队、高技能领军人才和产业紧缺人才境外培训计划。积极承办国际职业教育大会，办好办实中国－东盟教育交流周，形成一批教育交流、技能交流和人文交流的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九）推动职业教育走出去。探索“中文+职业技能”的国际化发展模式。服务国际产能合作，推动职业学校跟随中国企业走出去。完善“鲁班工坊”建设标准，拓展办学内涵。提高职业教育在出国留学基金等项目中的占比。积极打造一批高水平国际化的职业学校，推出一批具有国际影响力的专业标准、课程标准、教学资源。各地要把职业教育纳入对外合作规划，作为友好城市（省州）建设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加强组织领导。各级党委和政府要把推动现代职业教育高质量发展摆在更加突出的位置，更好支持和帮助职业教育发展。职业教育工作部门联席会议要充分发挥作用，教育行政部门要认真落实对职业教育工作统筹规划、综合协调、宏观管理职责。国家将职业教育工作纳入省级政府履行教育职责督导评价，各省将职业教育工作纳入地方经济社会发展考核。选优配强职业学校主要负责人，建设高素质专业化职业教育干部队伍。落实职业学校在内设机构、岗位设置、用人计划、教师招聘、职称评聘等方面的自主权。加强职业学校党建工作，落实意识形态工作责任制，开展新时代职业学校党组织示范创建和质量创优工作，把党的领导落实到办学治校、立德树人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一）强化制度保障。加快修订职业教育法，地方结合实际制定修订有关地方性法规。健全政府投入为主、多渠道筹集职业教育经费的体制。优化支出结构，新增教育经费向职业教育倾斜。严禁以学费、社会服务收入冲抵生均拨款，探索建立基于专业大类的职业教育差异化生均拨款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二）优化发展环境。加强正面宣传，挖掘宣传基层和一线技术技能人才成长成才的典型事迹，弘扬劳动光荣、技能宝贵、创造伟大的时代风尚。打通职业学校毕业生在就业、落户、参加招聘、职称评审、晋升等方面的通道，与普通学校毕业生享受同等待遇。对在职业教育工作中取得成绩的单位和个人、在职业教育领域作出突出贡献的技术技能人才，按照国家有关规定予以表彰奖励。各地将符合条件的高水平技术技能人才纳入高层次人才计划，探索从优秀产业工人和农业农村人才中培养选拔干部机制，加大技术技能人才薪酬激励力度，提高技术技能人才社会地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隶书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04EC3"/>
    <w:rsid w:val="2A90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2021-11-19T06:08:00Z</dcterms:created>
  <dc:creator>Slight1724</dc:creator>
  <cp:lastModifiedBy>Slight1724</cp:lastModifiedBy>
  <dcterms:modified xsi:type="dcterms:W3CDTF">2021-11-19T06:20:30Z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AD2B44B54F8F4B35B1CAE8089E3836B1</vt:lpwstr>
  </property>
</Properties>
</file>