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重庆市潼南区教育委员会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宋体" w:eastAsia="方正小标宋_GBK" w:cs="宋体"/>
          <w:color w:val="000000"/>
          <w:kern w:val="0"/>
          <w:sz w:val="44"/>
          <w:szCs w:val="44"/>
        </w:rPr>
      </w:pPr>
      <w:r>
        <w:rPr>
          <w:rFonts w:ascii="方正小标宋_GBK" w:hAnsi="宋体" w:eastAsia="方正小标宋_GBK" w:cs="宋体"/>
          <w:color w:val="000000"/>
          <w:spacing w:val="55"/>
          <w:kern w:val="0"/>
          <w:sz w:val="44"/>
          <w:szCs w:val="44"/>
          <w:fitText w:val="4840" w:id="666377385"/>
        </w:rPr>
        <w:t>重庆市潼南区财政</w:t>
      </w:r>
      <w:r>
        <w:rPr>
          <w:rFonts w:ascii="方正小标宋_GBK" w:hAnsi="宋体" w:eastAsia="方正小标宋_GBK" w:cs="宋体"/>
          <w:color w:val="000000"/>
          <w:spacing w:val="0"/>
          <w:kern w:val="0"/>
          <w:sz w:val="44"/>
          <w:szCs w:val="44"/>
          <w:fitText w:val="4840" w:id="666377385"/>
        </w:rPr>
        <w:t>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宋体" w:eastAsia="方正小标宋_GBK" w:cs="宋体"/>
          <w:color w:val="000000"/>
          <w:kern w:val="0"/>
          <w:sz w:val="44"/>
          <w:szCs w:val="44"/>
        </w:rPr>
      </w:pPr>
      <w:bookmarkStart w:id="0" w:name="_GoBack"/>
      <w:r>
        <w:rPr>
          <w:rFonts w:ascii="方正小标宋_GBK" w:hAnsi="宋体" w:eastAsia="方正小标宋_GBK" w:cs="宋体"/>
          <w:color w:val="000000"/>
          <w:kern w:val="0"/>
          <w:sz w:val="44"/>
          <w:szCs w:val="44"/>
        </w:rPr>
        <w:t>关于</w:t>
      </w:r>
      <w:r>
        <w:rPr>
          <w:rFonts w:hint="eastAsia" w:ascii="方正小标宋_GBK" w:hAnsi="宋体" w:eastAsia="方正小标宋_GBK" w:cs="宋体"/>
          <w:color w:val="000000"/>
          <w:kern w:val="0"/>
          <w:sz w:val="44"/>
          <w:szCs w:val="44"/>
        </w:rPr>
        <w:t>明确普惠性民</w:t>
      </w:r>
      <w:r>
        <w:rPr>
          <w:rFonts w:ascii="方正小标宋_GBK" w:hAnsi="宋体" w:eastAsia="方正小标宋_GBK" w:cs="宋体"/>
          <w:color w:val="000000"/>
          <w:kern w:val="0"/>
          <w:sz w:val="44"/>
          <w:szCs w:val="44"/>
        </w:rPr>
        <w:t>办幼儿园保育教育费收费</w:t>
      </w:r>
      <w:r>
        <w:rPr>
          <w:rFonts w:hint="eastAsia" w:ascii="方正小标宋_GBK" w:hAnsi="宋体" w:eastAsia="方正小标宋_GBK" w:cs="宋体"/>
          <w:color w:val="000000"/>
          <w:kern w:val="0"/>
          <w:sz w:val="44"/>
          <w:szCs w:val="44"/>
        </w:rPr>
        <w:t>指导</w:t>
      </w:r>
      <w:r>
        <w:rPr>
          <w:rFonts w:ascii="方正小标宋_GBK" w:hAnsi="宋体" w:eastAsia="方正小标宋_GBK" w:cs="宋体"/>
          <w:color w:val="000000"/>
          <w:kern w:val="0"/>
          <w:sz w:val="44"/>
          <w:szCs w:val="44"/>
        </w:rPr>
        <w:t>标准及增设延时保育费项目</w:t>
      </w:r>
      <w:r>
        <w:rPr>
          <w:rFonts w:hint="eastAsia" w:ascii="方正小标宋_GBK" w:hAnsi="宋体" w:eastAsia="方正小标宋_GBK" w:cs="宋体"/>
          <w:color w:val="000000"/>
          <w:kern w:val="0"/>
          <w:sz w:val="44"/>
          <w:szCs w:val="44"/>
        </w:rPr>
        <w:t>的</w:t>
      </w:r>
      <w:r>
        <w:rPr>
          <w:rFonts w:ascii="方正小标宋_GBK" w:hAnsi="宋体" w:eastAsia="方正小标宋_GBK" w:cs="宋体"/>
          <w:color w:val="000000"/>
          <w:kern w:val="0"/>
          <w:sz w:val="44"/>
          <w:szCs w:val="44"/>
        </w:rPr>
        <w:t>通知</w:t>
      </w:r>
    </w:p>
    <w:bookmarkEnd w:id="0"/>
    <w:p>
      <w:pPr>
        <w:keepNext w:val="0"/>
        <w:keepLines w:val="0"/>
        <w:pageBreakBefore w:val="0"/>
        <w:widowControl w:val="0"/>
        <w:kinsoku/>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潼教委〔2021〕5号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各普惠性民办幼儿园：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为贯彻《重庆市人民政府关于第三期学前教育行动计划的实施意见》（渝府发〔2017〕48号），完善学前教育成本分担机制，促进我区学前教育健康发展，根据《重庆市物价局 重庆市教育委员会 重庆市劳动和社会保障局关于印发〈重庆市民办教育管理暂行办法实施细则〉的通知》（渝价〔2005〕487号）和区政府第122次政府常务会议有关精神，经研究，决定明确我区普惠性民办幼儿园保育教育费收费指导标准及增设延时保育费项目。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一、各级普惠性民办幼儿园的</w:t>
      </w:r>
      <w:r>
        <w:rPr>
          <w:rFonts w:hint="eastAsia" w:ascii="方正黑体_GBK" w:hAnsi="方正黑体_GBK" w:eastAsia="方正黑体_GBK" w:cs="方正黑体_GBK"/>
          <w:kern w:val="0"/>
          <w:sz w:val="32"/>
          <w:szCs w:val="32"/>
          <w:shd w:val="clear" w:color="auto" w:fill="FFFFFF"/>
          <w:lang w:val="en-US" w:eastAsia="zh-CN" w:bidi="ar-SA"/>
        </w:rPr>
        <w:fldChar w:fldCharType="begin"/>
      </w:r>
      <w:r>
        <w:rPr>
          <w:rFonts w:hint="eastAsia" w:ascii="方正黑体_GBK" w:hAnsi="方正黑体_GBK" w:eastAsia="方正黑体_GBK" w:cs="方正黑体_GBK"/>
          <w:kern w:val="0"/>
          <w:sz w:val="32"/>
          <w:szCs w:val="32"/>
          <w:shd w:val="clear" w:color="auto" w:fill="FFFFFF"/>
          <w:lang w:val="en-US" w:eastAsia="zh-CN" w:bidi="ar-SA"/>
        </w:rPr>
        <w:instrText xml:space="preserve"> HYPERLINK "https://baike.sogou.com/lemma/ShowInnerLink.htm?lemmaId=139533064&amp;ss_c=ssc.citiao.link" \t "_blank" </w:instrText>
      </w:r>
      <w:r>
        <w:rPr>
          <w:rFonts w:hint="eastAsia" w:ascii="方正黑体_GBK" w:hAnsi="方正黑体_GBK" w:eastAsia="方正黑体_GBK" w:cs="方正黑体_GBK"/>
          <w:kern w:val="0"/>
          <w:sz w:val="32"/>
          <w:szCs w:val="32"/>
          <w:shd w:val="clear" w:color="auto" w:fill="FFFFFF"/>
          <w:lang w:val="en-US" w:eastAsia="zh-CN" w:bidi="ar-SA"/>
        </w:rPr>
        <w:fldChar w:fldCharType="separate"/>
      </w:r>
      <w:r>
        <w:rPr>
          <w:rFonts w:hint="eastAsia" w:ascii="方正黑体_GBK" w:hAnsi="方正黑体_GBK" w:eastAsia="方正黑体_GBK" w:cs="方正黑体_GBK"/>
          <w:kern w:val="0"/>
          <w:sz w:val="32"/>
          <w:szCs w:val="32"/>
          <w:shd w:val="clear" w:color="auto" w:fill="FFFFFF"/>
          <w:lang w:val="en-US" w:eastAsia="zh-CN" w:bidi="ar-SA"/>
        </w:rPr>
        <w:t>保育教育费</w:t>
      </w:r>
      <w:r>
        <w:rPr>
          <w:rFonts w:hint="eastAsia" w:ascii="方正黑体_GBK" w:hAnsi="方正黑体_GBK" w:eastAsia="方正黑体_GBK" w:cs="方正黑体_GBK"/>
          <w:kern w:val="0"/>
          <w:sz w:val="32"/>
          <w:szCs w:val="32"/>
          <w:shd w:val="clear" w:color="auto" w:fill="FFFFFF"/>
          <w:lang w:val="en-US" w:eastAsia="zh-CN" w:bidi="ar-SA"/>
        </w:rPr>
        <w:fldChar w:fldCharType="end"/>
      </w:r>
      <w:r>
        <w:rPr>
          <w:rFonts w:hint="eastAsia" w:ascii="方正黑体_GBK" w:hAnsi="方正黑体_GBK" w:eastAsia="方正黑体_GBK" w:cs="方正黑体_GBK"/>
          <w:kern w:val="0"/>
          <w:sz w:val="32"/>
          <w:szCs w:val="32"/>
          <w:shd w:val="clear" w:color="auto" w:fill="FFFFFF"/>
          <w:lang w:val="en-US" w:eastAsia="zh-CN" w:bidi="ar-SA"/>
        </w:rPr>
        <w:t>收费指导标准。</w:t>
      </w:r>
      <w:r>
        <w:rPr>
          <w:rFonts w:hint="eastAsia" w:ascii="方正仿宋_GBK" w:hAnsi="方正仿宋_GBK" w:eastAsia="方正仿宋_GBK" w:cs="方正仿宋_GBK"/>
          <w:kern w:val="0"/>
          <w:sz w:val="32"/>
          <w:szCs w:val="32"/>
          <w:shd w:val="clear" w:color="auto" w:fill="FFFFFF"/>
          <w:lang w:val="en-US" w:eastAsia="zh-CN" w:bidi="ar-SA"/>
        </w:rPr>
        <w:t>参照区发展改革委、区财政局、区教委《关于调整我区公办幼儿园保育教育费收费标准及增设延时保育费项目的通知》（潼发改〔2021〕12号）规定的同级公办幼儿园的收费标准执行（见附件）。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二、增设延时保育费服务性收费项目。</w:t>
      </w:r>
      <w:r>
        <w:rPr>
          <w:rFonts w:hint="eastAsia" w:ascii="方正仿宋_GBK" w:hAnsi="方正仿宋_GBK" w:eastAsia="方正仿宋_GBK" w:cs="方正仿宋_GBK"/>
          <w:kern w:val="0"/>
          <w:sz w:val="32"/>
          <w:szCs w:val="32"/>
          <w:shd w:val="clear" w:color="auto" w:fill="FFFFFF"/>
          <w:lang w:val="en-US" w:eastAsia="zh-CN" w:bidi="ar-SA"/>
        </w:rPr>
        <w:t>延时保育时间为每天下午放学后两小时，延时保育教育费收费标准为不超过6元/生•次，半小时以内免费，按月结算。该项服务性收费应当坚持自愿原则，严禁强迫幼儿参加。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三、执行时间。</w:t>
      </w:r>
      <w:r>
        <w:rPr>
          <w:rFonts w:hint="eastAsia" w:ascii="方正仿宋_GBK" w:hAnsi="方正仿宋_GBK" w:eastAsia="方正仿宋_GBK" w:cs="方正仿宋_GBK"/>
          <w:kern w:val="0"/>
          <w:sz w:val="32"/>
          <w:szCs w:val="32"/>
          <w:shd w:val="clear" w:color="auto" w:fill="FFFFFF"/>
          <w:lang w:val="en-US" w:eastAsia="zh-CN" w:bidi="ar-SA"/>
        </w:rPr>
        <w:t>自2021年春季学期开学起执行。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附件：重庆市潼南区公办幼儿园保育教育费收费标准</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6080" w:right="0" w:rightChars="0" w:hanging="6080" w:hangingChars="1900"/>
        <w:jc w:val="both"/>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重庆市潼南区教育委员会         重庆市潼南区财政局                                                      2021年2月23日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方正仿宋_GBK" w:hAnsi="方正仿宋_GBK" w:eastAsia="方正仿宋_GBK" w:cs="方正仿宋_GBK"/>
          <w:kern w:val="0"/>
          <w:sz w:val="32"/>
          <w:szCs w:val="32"/>
          <w:shd w:val="clear" w:color="auto" w:fill="FFFFFF"/>
          <w:lang w:val="en-US" w:eastAsia="zh-CN" w:bidi="ar-SA"/>
        </w:rPr>
        <w:t xml:space="preserve">  </w:t>
      </w:r>
    </w:p>
    <w:p>
      <w:pPr>
        <w:pStyle w:val="7"/>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4"/>
        <w:spacing w:line="600" w:lineRule="exact"/>
        <w:rPr>
          <w:rFonts w:ascii="方正黑体_GBK" w:eastAsia="方正黑体_GBK"/>
          <w:sz w:val="32"/>
          <w:szCs w:val="32"/>
        </w:rPr>
      </w:pPr>
      <w:r>
        <w:rPr>
          <w:rFonts w:hint="eastAsia" w:ascii="方正黑体_GBK" w:eastAsia="方正黑体_GBK"/>
          <w:sz w:val="32"/>
          <w:szCs w:val="32"/>
        </w:rPr>
        <w:t>附件</w:t>
      </w:r>
    </w:p>
    <w:p>
      <w:pPr>
        <w:pStyle w:val="4"/>
        <w:spacing w:line="600" w:lineRule="exact"/>
        <w:rPr>
          <w:rFonts w:hint="eastAsia" w:ascii="方正黑体_GBK" w:eastAsia="方正黑体_GBK"/>
          <w:sz w:val="32"/>
          <w:szCs w:val="32"/>
        </w:rPr>
      </w:pPr>
    </w:p>
    <w:p>
      <w:pPr>
        <w:spacing w:line="600" w:lineRule="exact"/>
        <w:jc w:val="center"/>
        <w:rPr>
          <w:rFonts w:ascii="方正小标宋_GBK" w:eastAsia="方正小标宋_GBK" w:cs="方正仿宋_GBK"/>
          <w:sz w:val="44"/>
          <w:szCs w:val="44"/>
        </w:rPr>
      </w:pPr>
      <w:r>
        <w:rPr>
          <w:rFonts w:hint="eastAsia" w:ascii="方正小标宋_GBK" w:eastAsia="方正小标宋_GBK"/>
          <w:sz w:val="44"/>
          <w:szCs w:val="44"/>
        </w:rPr>
        <w:t>重庆市潼南区</w:t>
      </w:r>
      <w:r>
        <w:rPr>
          <w:rFonts w:hint="eastAsia" w:ascii="方正小标宋_GBK" w:eastAsia="方正小标宋_GBK" w:cs="方正仿宋_GBK"/>
          <w:sz w:val="44"/>
          <w:szCs w:val="44"/>
        </w:rPr>
        <w:t>公办幼儿园保育教育费</w:t>
      </w:r>
    </w:p>
    <w:p>
      <w:pPr>
        <w:spacing w:line="600" w:lineRule="exact"/>
        <w:jc w:val="center"/>
        <w:rPr>
          <w:rFonts w:hint="eastAsia" w:ascii="方正小标宋_GBK" w:eastAsia="方正小标宋_GBK"/>
          <w:sz w:val="44"/>
          <w:szCs w:val="44"/>
        </w:rPr>
      </w:pPr>
      <w:r>
        <w:rPr>
          <w:rFonts w:hint="eastAsia" w:ascii="方正小标宋_GBK" w:eastAsia="方正小标宋_GBK" w:cs="方正仿宋_GBK"/>
          <w:sz w:val="44"/>
          <w:szCs w:val="44"/>
        </w:rPr>
        <w:t>收费标准</w:t>
      </w:r>
    </w:p>
    <w:tbl>
      <w:tblPr>
        <w:tblStyle w:val="8"/>
        <w:tblW w:w="9073"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2643"/>
        <w:gridCol w:w="1822"/>
        <w:gridCol w:w="4608"/>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23" w:hRule="atLeast"/>
          <w:tblHeader/>
          <w:jc w:val="center"/>
        </w:trPr>
        <w:tc>
          <w:tcPr>
            <w:tcW w:w="2643" w:type="dxa"/>
            <w:noWrap w:val="0"/>
            <w:tcMar>
              <w:left w:w="28" w:type="dxa"/>
              <w:right w:w="28" w:type="dxa"/>
            </w:tcMar>
            <w:vAlign w:val="center"/>
          </w:tcPr>
          <w:p>
            <w:pPr>
              <w:spacing w:line="600" w:lineRule="exact"/>
              <w:jc w:val="center"/>
              <w:textAlignment w:val="baseline"/>
              <w:rPr>
                <w:rFonts w:eastAsia="方正黑体_GBK"/>
                <w:sz w:val="28"/>
                <w:szCs w:val="28"/>
              </w:rPr>
            </w:pPr>
            <w:r>
              <w:rPr>
                <w:rFonts w:eastAsia="方正黑体_GBK"/>
                <w:sz w:val="28"/>
                <w:szCs w:val="28"/>
              </w:rPr>
              <w:t>办学等级</w:t>
            </w:r>
          </w:p>
        </w:tc>
        <w:tc>
          <w:tcPr>
            <w:tcW w:w="1822" w:type="dxa"/>
            <w:noWrap w:val="0"/>
            <w:tcMar>
              <w:left w:w="28" w:type="dxa"/>
              <w:right w:w="28" w:type="dxa"/>
            </w:tcMar>
            <w:vAlign w:val="center"/>
          </w:tcPr>
          <w:p>
            <w:pPr>
              <w:spacing w:line="600" w:lineRule="exact"/>
              <w:jc w:val="center"/>
              <w:textAlignment w:val="baseline"/>
              <w:rPr>
                <w:rFonts w:eastAsia="方正黑体_GBK"/>
                <w:sz w:val="28"/>
                <w:szCs w:val="28"/>
              </w:rPr>
            </w:pPr>
            <w:r>
              <w:rPr>
                <w:rFonts w:eastAsia="方正黑体_GBK"/>
                <w:sz w:val="28"/>
                <w:szCs w:val="28"/>
              </w:rPr>
              <w:t>办学形式</w:t>
            </w:r>
          </w:p>
        </w:tc>
        <w:tc>
          <w:tcPr>
            <w:tcW w:w="4608" w:type="dxa"/>
            <w:noWrap w:val="0"/>
            <w:tcMar>
              <w:left w:w="28" w:type="dxa"/>
              <w:right w:w="28" w:type="dxa"/>
            </w:tcMar>
            <w:vAlign w:val="center"/>
          </w:tcPr>
          <w:p>
            <w:pPr>
              <w:spacing w:line="600" w:lineRule="exact"/>
              <w:jc w:val="center"/>
              <w:textAlignment w:val="baseline"/>
              <w:rPr>
                <w:rFonts w:eastAsia="方正黑体_GBK"/>
                <w:sz w:val="28"/>
                <w:szCs w:val="28"/>
              </w:rPr>
            </w:pPr>
            <w:r>
              <w:rPr>
                <w:rFonts w:eastAsia="方正黑体_GBK"/>
                <w:sz w:val="28"/>
                <w:szCs w:val="28"/>
              </w:rPr>
              <w:t>收  费  标  准</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23" w:hRule="atLeast"/>
          <w:jc w:val="center"/>
        </w:trPr>
        <w:tc>
          <w:tcPr>
            <w:tcW w:w="2643" w:type="dxa"/>
            <w:noWrap w:val="0"/>
            <w:tcMar>
              <w:left w:w="28" w:type="dxa"/>
              <w:right w:w="28" w:type="dxa"/>
            </w:tcMar>
            <w:vAlign w:val="center"/>
          </w:tcPr>
          <w:p>
            <w:pPr>
              <w:spacing w:line="600" w:lineRule="exact"/>
              <w:jc w:val="center"/>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一级幼儿园</w:t>
            </w:r>
          </w:p>
        </w:tc>
        <w:tc>
          <w:tcPr>
            <w:tcW w:w="1822" w:type="dxa"/>
            <w:noWrap w:val="0"/>
            <w:tcMar>
              <w:left w:w="28" w:type="dxa"/>
              <w:right w:w="28" w:type="dxa"/>
            </w:tcMar>
            <w:vAlign w:val="center"/>
          </w:tcPr>
          <w:p>
            <w:pPr>
              <w:spacing w:line="600" w:lineRule="exact"/>
              <w:jc w:val="center"/>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全日制</w:t>
            </w:r>
          </w:p>
        </w:tc>
        <w:tc>
          <w:tcPr>
            <w:tcW w:w="4608" w:type="dxa"/>
            <w:noWrap w:val="0"/>
            <w:tcMar>
              <w:left w:w="28" w:type="dxa"/>
              <w:right w:w="28" w:type="dxa"/>
            </w:tcMar>
            <w:vAlign w:val="center"/>
          </w:tcPr>
          <w:p>
            <w:pPr>
              <w:spacing w:line="600" w:lineRule="exact"/>
              <w:jc w:val="center"/>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500元/生•月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23" w:hRule="atLeast"/>
          <w:jc w:val="center"/>
        </w:trPr>
        <w:tc>
          <w:tcPr>
            <w:tcW w:w="2643" w:type="dxa"/>
            <w:noWrap w:val="0"/>
            <w:tcMar>
              <w:left w:w="28" w:type="dxa"/>
              <w:right w:w="28" w:type="dxa"/>
            </w:tcMar>
            <w:vAlign w:val="center"/>
          </w:tcPr>
          <w:p>
            <w:pPr>
              <w:spacing w:line="600" w:lineRule="exact"/>
              <w:jc w:val="center"/>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二级幼儿园</w:t>
            </w:r>
          </w:p>
        </w:tc>
        <w:tc>
          <w:tcPr>
            <w:tcW w:w="1822" w:type="dxa"/>
            <w:noWrap w:val="0"/>
            <w:tcMar>
              <w:left w:w="28" w:type="dxa"/>
              <w:right w:w="28" w:type="dxa"/>
            </w:tcMar>
            <w:vAlign w:val="center"/>
          </w:tcPr>
          <w:p>
            <w:pPr>
              <w:spacing w:line="600" w:lineRule="exact"/>
              <w:jc w:val="center"/>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全日制</w:t>
            </w:r>
          </w:p>
        </w:tc>
        <w:tc>
          <w:tcPr>
            <w:tcW w:w="4608" w:type="dxa"/>
            <w:noWrap w:val="0"/>
            <w:tcMar>
              <w:left w:w="28" w:type="dxa"/>
              <w:right w:w="28" w:type="dxa"/>
            </w:tcMar>
            <w:vAlign w:val="center"/>
          </w:tcPr>
          <w:p>
            <w:pPr>
              <w:spacing w:line="600" w:lineRule="exact"/>
              <w:jc w:val="center"/>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400元/生•月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23" w:hRule="atLeast"/>
          <w:jc w:val="center"/>
        </w:trPr>
        <w:tc>
          <w:tcPr>
            <w:tcW w:w="2643" w:type="dxa"/>
            <w:noWrap w:val="0"/>
            <w:tcMar>
              <w:left w:w="28" w:type="dxa"/>
              <w:right w:w="28" w:type="dxa"/>
            </w:tcMar>
            <w:vAlign w:val="center"/>
          </w:tcPr>
          <w:p>
            <w:pPr>
              <w:spacing w:line="600" w:lineRule="exact"/>
              <w:jc w:val="center"/>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三级幼儿园</w:t>
            </w:r>
          </w:p>
        </w:tc>
        <w:tc>
          <w:tcPr>
            <w:tcW w:w="1822" w:type="dxa"/>
            <w:noWrap w:val="0"/>
            <w:tcMar>
              <w:left w:w="28" w:type="dxa"/>
              <w:right w:w="28" w:type="dxa"/>
            </w:tcMar>
            <w:vAlign w:val="center"/>
          </w:tcPr>
          <w:p>
            <w:pPr>
              <w:spacing w:line="600" w:lineRule="exact"/>
              <w:jc w:val="center"/>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全日制</w:t>
            </w:r>
          </w:p>
        </w:tc>
        <w:tc>
          <w:tcPr>
            <w:tcW w:w="4608" w:type="dxa"/>
            <w:noWrap w:val="0"/>
            <w:tcMar>
              <w:left w:w="28" w:type="dxa"/>
              <w:right w:w="28" w:type="dxa"/>
            </w:tcMar>
            <w:vAlign w:val="center"/>
          </w:tcPr>
          <w:p>
            <w:pPr>
              <w:spacing w:line="600" w:lineRule="exact"/>
              <w:jc w:val="center"/>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300元/生•月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23" w:hRule="atLeast"/>
          <w:jc w:val="center"/>
        </w:trPr>
        <w:tc>
          <w:tcPr>
            <w:tcW w:w="2643" w:type="dxa"/>
            <w:noWrap w:val="0"/>
            <w:tcMar>
              <w:left w:w="28" w:type="dxa"/>
              <w:right w:w="28" w:type="dxa"/>
            </w:tcMar>
            <w:vAlign w:val="center"/>
          </w:tcPr>
          <w:p>
            <w:pPr>
              <w:spacing w:line="600" w:lineRule="exact"/>
              <w:jc w:val="center"/>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未定级或未达等级</w:t>
            </w:r>
          </w:p>
        </w:tc>
        <w:tc>
          <w:tcPr>
            <w:tcW w:w="1822" w:type="dxa"/>
            <w:noWrap w:val="0"/>
            <w:tcMar>
              <w:left w:w="28" w:type="dxa"/>
              <w:right w:w="28" w:type="dxa"/>
            </w:tcMar>
            <w:vAlign w:val="center"/>
          </w:tcPr>
          <w:p>
            <w:pPr>
              <w:spacing w:line="600" w:lineRule="exact"/>
              <w:jc w:val="center"/>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全日制</w:t>
            </w:r>
          </w:p>
        </w:tc>
        <w:tc>
          <w:tcPr>
            <w:tcW w:w="4608" w:type="dxa"/>
            <w:noWrap w:val="0"/>
            <w:tcMar>
              <w:left w:w="28" w:type="dxa"/>
              <w:right w:w="28" w:type="dxa"/>
            </w:tcMar>
            <w:vAlign w:val="center"/>
          </w:tcPr>
          <w:p>
            <w:pPr>
              <w:spacing w:line="600" w:lineRule="exact"/>
              <w:jc w:val="center"/>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150元/生•月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220" w:hRule="atLeast"/>
          <w:jc w:val="center"/>
        </w:trPr>
        <w:tc>
          <w:tcPr>
            <w:tcW w:w="2643" w:type="dxa"/>
            <w:noWrap w:val="0"/>
            <w:tcMar>
              <w:left w:w="28" w:type="dxa"/>
              <w:right w:w="28" w:type="dxa"/>
            </w:tcMar>
            <w:vAlign w:val="center"/>
          </w:tcPr>
          <w:p>
            <w:pPr>
              <w:spacing w:line="600" w:lineRule="exact"/>
              <w:jc w:val="center"/>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备    注</w:t>
            </w:r>
          </w:p>
        </w:tc>
        <w:tc>
          <w:tcPr>
            <w:tcW w:w="6430" w:type="dxa"/>
            <w:gridSpan w:val="2"/>
            <w:noWrap w:val="0"/>
            <w:tcMar>
              <w:left w:w="28" w:type="dxa"/>
              <w:right w:w="28" w:type="dxa"/>
            </w:tcMar>
            <w:vAlign w:val="center"/>
          </w:tcPr>
          <w:p>
            <w:pPr>
              <w:spacing w:line="600" w:lineRule="exact"/>
              <w:ind w:firstLine="560" w:firstLineChars="200"/>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1．未提供午餐午睡的收费标准，按照同等级全日制收费标准的70%收取；</w:t>
            </w:r>
          </w:p>
          <w:p>
            <w:pPr>
              <w:spacing w:line="600" w:lineRule="exact"/>
              <w:ind w:firstLine="560" w:firstLineChars="200"/>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2．寄宿制（含住宿费）收费标准在同等级全日制收费标准基础上上浮不超过30%；</w:t>
            </w:r>
          </w:p>
          <w:p>
            <w:pPr>
              <w:spacing w:line="600" w:lineRule="exact"/>
              <w:ind w:firstLine="560" w:firstLineChars="200"/>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3．市级示范幼儿园可在一级幼儿园收费标准基础上上浮不超过25%。</w:t>
            </w:r>
          </w:p>
        </w:tc>
      </w:tr>
    </w:tbl>
    <w:p>
      <w:pPr>
        <w:keepNext w:val="0"/>
        <w:keepLines w:val="0"/>
        <w:pageBreakBefore w:val="0"/>
        <w:widowControl w:val="0"/>
        <w:kinsoku/>
        <w:wordWrap w:val="0"/>
        <w:overflowPunct/>
        <w:topLinePunct w:val="0"/>
        <w:autoSpaceDE/>
        <w:autoSpaceDN/>
        <w:bidi w:val="0"/>
        <w:adjustRightInd/>
        <w:snapToGrid/>
        <w:spacing w:line="600" w:lineRule="atLeast"/>
        <w:ind w:right="0" w:rightChars="0"/>
        <w:jc w:val="both"/>
        <w:textAlignment w:val="auto"/>
        <w:outlineLvl w:val="9"/>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重庆市潼南区教育委员会发布</w:t>
    </w:r>
    <w:r>
      <w:rPr>
        <w:rFonts w:hint="eastAsia" w:ascii="宋体" w:hAnsi="宋体" w:eastAsia="宋体" w:cs="宋体"/>
        <w:b/>
        <w:bCs/>
        <w:color w:val="005192"/>
        <w:sz w:val="13"/>
        <w:szCs w:val="13"/>
        <w:lang w:val="en-US" w:eastAsia="zh-CN"/>
      </w:rPr>
      <w:t xml:space="preserve"> </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p>
  <w:p>
    <w:pPr>
      <w:pStyle w:val="6"/>
      <w:ind w:left="4788" w:leftChars="2280" w:firstLine="6400" w:firstLineChars="2000"/>
      <w:rPr>
        <w:sz w:val="32"/>
      </w:rPr>
    </w:pPr>
  </w:p>
  <w:p>
    <w:pPr>
      <w:pStyle w:val="6"/>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重庆市潼南区教育委员会行政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方正仿宋_GBK" w:cs="宋体"/>
        <w:b/>
        <w:bCs/>
        <w:color w:val="005192"/>
        <w:sz w:val="32"/>
        <w:szCs w:val="32"/>
        <w:lang w:val="en-US" w:eastAsia="zh-CN"/>
      </w:rPr>
    </w:pPr>
    <w: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wNGU0NTFmOTBmODMyOGNmMTliNGY2MDZhZWYyODM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7824F67"/>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rPr>
      <w:rFonts w:eastAsia="黑体"/>
      <w:sz w:val="36"/>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1283</Words>
  <Characters>1338</Characters>
  <Lines>1</Lines>
  <Paragraphs>1</Paragraphs>
  <TotalTime>7</TotalTime>
  <ScaleCrop>false</ScaleCrop>
  <LinksUpToDate>false</LinksUpToDate>
  <CharactersWithSpaces>1382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zero杨娜</cp:lastModifiedBy>
  <cp:lastPrinted>2022-06-06T16:09:00Z</cp:lastPrinted>
  <dcterms:modified xsi:type="dcterms:W3CDTF">2023-06-20T09:24:19Z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