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BD" w:rsidRDefault="004F6E30">
      <w:pPr>
        <w:pStyle w:val="a6"/>
        <w:shd w:val="clear" w:color="auto" w:fill="FFFFFF"/>
        <w:spacing w:before="0" w:beforeAutospacing="0" w:after="0" w:afterAutospacing="0"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重庆市潼南区</w:t>
      </w:r>
      <w:r>
        <w:rPr>
          <w:rFonts w:ascii="Times New Roman" w:eastAsia="方正小标宋_GBK" w:hAnsi="Times New Roman" w:cs="Times New Roman" w:hint="eastAsia"/>
          <w:sz w:val="44"/>
          <w:szCs w:val="44"/>
        </w:rPr>
        <w:t>公安局</w:t>
      </w:r>
    </w:p>
    <w:p w:rsidR="006B34BD" w:rsidRDefault="004F6E30">
      <w:pPr>
        <w:pStyle w:val="a6"/>
        <w:shd w:val="clear" w:color="auto" w:fill="FFFFFF"/>
        <w:spacing w:before="0" w:beforeAutospacing="0" w:after="0" w:afterAutospacing="0"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2019</w:t>
      </w:r>
      <w:r>
        <w:rPr>
          <w:rFonts w:ascii="Times New Roman" w:eastAsia="方正小标宋_GBK" w:hAnsi="Times New Roman" w:cs="Times New Roman"/>
          <w:sz w:val="44"/>
          <w:szCs w:val="44"/>
        </w:rPr>
        <w:t>年度部门决算情况说明</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黑体_GBK" w:hAnsi="Times New Roman" w:cs="Times New Roman"/>
          <w:b/>
          <w:sz w:val="32"/>
          <w:szCs w:val="32"/>
        </w:rPr>
      </w:pPr>
      <w:r>
        <w:rPr>
          <w:rStyle w:val="a7"/>
          <w:rFonts w:ascii="Times New Roman" w:eastAsia="方正黑体_GBK" w:hAnsi="Times New Roman" w:cs="Times New Roman"/>
          <w:b w:val="0"/>
          <w:sz w:val="32"/>
          <w:szCs w:val="32"/>
        </w:rPr>
        <w:t>一、部门基本情况</w:t>
      </w:r>
    </w:p>
    <w:p w:rsidR="006B34BD" w:rsidRDefault="004F6E30">
      <w:pPr>
        <w:spacing w:line="594" w:lineRule="exact"/>
        <w:ind w:firstLineChars="214" w:firstLine="685"/>
        <w:rPr>
          <w:rStyle w:val="a7"/>
          <w:rFonts w:ascii="Times New Roman" w:eastAsia="方正楷体_GBK" w:hAnsi="Times New Roman" w:cs="Times New Roman"/>
          <w:sz w:val="32"/>
          <w:szCs w:val="32"/>
        </w:rPr>
      </w:pPr>
      <w:r>
        <w:rPr>
          <w:rStyle w:val="a7"/>
          <w:rFonts w:ascii="Times New Roman" w:eastAsia="方正楷体_GBK" w:hAnsi="Times New Roman" w:cs="Times New Roman"/>
          <w:sz w:val="32"/>
          <w:szCs w:val="32"/>
        </w:rPr>
        <w:t>（一）职能职责。</w:t>
      </w:r>
    </w:p>
    <w:p w:rsidR="006B34BD" w:rsidRDefault="004F6E30" w:rsidP="004F6E30">
      <w:pPr>
        <w:spacing w:line="594" w:lineRule="exact"/>
        <w:ind w:firstLineChars="214" w:firstLine="687"/>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区</w:t>
      </w:r>
      <w:r>
        <w:rPr>
          <w:rFonts w:ascii="Times New Roman" w:eastAsia="方正仿宋_GBK" w:hAnsi="Times New Roman" w:cs="Times New Roman" w:hint="eastAsia"/>
          <w:b/>
          <w:sz w:val="32"/>
          <w:szCs w:val="32"/>
        </w:rPr>
        <w:t>公安局</w:t>
      </w:r>
      <w:r>
        <w:rPr>
          <w:rFonts w:ascii="Times New Roman" w:eastAsia="方正仿宋_GBK" w:hAnsi="Times New Roman" w:cs="Times New Roman"/>
          <w:b/>
          <w:sz w:val="32"/>
          <w:szCs w:val="32"/>
        </w:rPr>
        <w:t>职能职责：</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1. </w:t>
      </w:r>
      <w:r w:rsidRPr="004F6E30">
        <w:rPr>
          <w:rFonts w:ascii="Times New Roman" w:eastAsia="方正仿宋_GBK" w:hAnsi="Times New Roman" w:cs="Times New Roman" w:hint="eastAsia"/>
          <w:sz w:val="32"/>
          <w:szCs w:val="32"/>
        </w:rPr>
        <w:t>贯彻执行公安工作相关法律、法规、规章和方针政策，拟订全区公安工作规划，报区政府同意后组织实施；指导、监督、检查全区公安工作。</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2. </w:t>
      </w:r>
      <w:r w:rsidRPr="004F6E30">
        <w:rPr>
          <w:rFonts w:ascii="Times New Roman" w:eastAsia="方正仿宋_GBK" w:hAnsi="Times New Roman" w:cs="Times New Roman" w:hint="eastAsia"/>
          <w:sz w:val="32"/>
          <w:szCs w:val="32"/>
        </w:rPr>
        <w:t>搜集分析影响社会稳定、危害国家安全和社会治安的信息，及时向区委、区政府和市公安局报告有关情况，并研究制定对策。</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3. </w:t>
      </w:r>
      <w:r w:rsidRPr="004F6E30">
        <w:rPr>
          <w:rFonts w:ascii="Times New Roman" w:eastAsia="方正仿宋_GBK" w:hAnsi="Times New Roman" w:cs="Times New Roman" w:hint="eastAsia"/>
          <w:sz w:val="32"/>
          <w:szCs w:val="32"/>
        </w:rPr>
        <w:t>针对危害社会政治稳定和国家安全的组织、人员活动进行调查、监视、控制、限制处置及依法打击，组织实施重特大刑事案件的侦破；处置突发事件和重大治安、灾害事故。</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4. </w:t>
      </w:r>
      <w:r w:rsidRPr="004F6E30">
        <w:rPr>
          <w:rFonts w:ascii="Times New Roman" w:eastAsia="方正仿宋_GBK" w:hAnsi="Times New Roman" w:cs="Times New Roman" w:hint="eastAsia"/>
          <w:sz w:val="32"/>
          <w:szCs w:val="32"/>
        </w:rPr>
        <w:t>依法管理社会治安、户籍、公民身份证、出入境管理工作，依法进行消防监督，组织实施消防工作。</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5. </w:t>
      </w:r>
      <w:r w:rsidRPr="004F6E30">
        <w:rPr>
          <w:rFonts w:ascii="Times New Roman" w:eastAsia="方正仿宋_GBK" w:hAnsi="Times New Roman" w:cs="Times New Roman" w:hint="eastAsia"/>
          <w:sz w:val="32"/>
          <w:szCs w:val="32"/>
        </w:rPr>
        <w:t>管理全区城乡道路交通安全，维护交通秩序。</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6. </w:t>
      </w:r>
      <w:r w:rsidRPr="004F6E30">
        <w:rPr>
          <w:rFonts w:ascii="Times New Roman" w:eastAsia="方正仿宋_GBK" w:hAnsi="Times New Roman" w:cs="Times New Roman" w:hint="eastAsia"/>
          <w:sz w:val="32"/>
          <w:szCs w:val="32"/>
        </w:rPr>
        <w:t>依法监督中央、市驻潼企事业单位的安全保卫工作；实施对全区机关、团体、企事业单位安全管理工作；指导企事业单位保卫干部、经济民警的队伍建设。</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lastRenderedPageBreak/>
        <w:t xml:space="preserve">7. </w:t>
      </w:r>
      <w:r w:rsidRPr="004F6E30">
        <w:rPr>
          <w:rFonts w:ascii="Times New Roman" w:eastAsia="方正仿宋_GBK" w:hAnsi="Times New Roman" w:cs="Times New Roman" w:hint="eastAsia"/>
          <w:sz w:val="32"/>
          <w:szCs w:val="32"/>
        </w:rPr>
        <w:t>组织实施对来我区党和国家领导人及重要外宾的安全警卫工作。</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8. </w:t>
      </w:r>
      <w:r w:rsidRPr="004F6E30">
        <w:rPr>
          <w:rFonts w:ascii="Times New Roman" w:eastAsia="方正仿宋_GBK" w:hAnsi="Times New Roman" w:cs="Times New Roman" w:hint="eastAsia"/>
          <w:sz w:val="32"/>
          <w:szCs w:val="32"/>
        </w:rPr>
        <w:t>实施看守所、拘留所的监管工作。</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9. </w:t>
      </w:r>
      <w:r w:rsidRPr="004F6E30">
        <w:rPr>
          <w:rFonts w:ascii="Times New Roman" w:eastAsia="方正仿宋_GBK" w:hAnsi="Times New Roman" w:cs="Times New Roman" w:hint="eastAsia"/>
          <w:sz w:val="32"/>
          <w:szCs w:val="32"/>
        </w:rPr>
        <w:t>监督、管理全区计算机信息系统安全保卫工作；规划、实施公安装备现代化建设。</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10. </w:t>
      </w:r>
      <w:r w:rsidRPr="004F6E30">
        <w:rPr>
          <w:rFonts w:ascii="Times New Roman" w:eastAsia="方正仿宋_GBK" w:hAnsi="Times New Roman" w:cs="Times New Roman" w:hint="eastAsia"/>
          <w:sz w:val="32"/>
          <w:szCs w:val="32"/>
        </w:rPr>
        <w:t>检查、监督全区公安机关的执法活动。</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11. </w:t>
      </w:r>
      <w:r w:rsidRPr="004F6E30">
        <w:rPr>
          <w:rFonts w:ascii="Times New Roman" w:eastAsia="方正仿宋_GBK" w:hAnsi="Times New Roman" w:cs="Times New Roman" w:hint="eastAsia"/>
          <w:sz w:val="32"/>
          <w:szCs w:val="32"/>
        </w:rPr>
        <w:t>领导和建设我区的武警、消防部队。</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12. </w:t>
      </w:r>
      <w:r w:rsidRPr="004F6E30">
        <w:rPr>
          <w:rFonts w:ascii="Times New Roman" w:eastAsia="方正仿宋_GBK" w:hAnsi="Times New Roman" w:cs="Times New Roman" w:hint="eastAsia"/>
          <w:sz w:val="32"/>
          <w:szCs w:val="32"/>
        </w:rPr>
        <w:t>指导林业、铁路公安部门开展业务工作。</w:t>
      </w:r>
    </w:p>
    <w:p w:rsidR="004F6E30" w:rsidRPr="004F6E30" w:rsidRDefault="004F6E30" w:rsidP="004F6E30">
      <w:pPr>
        <w:spacing w:line="594" w:lineRule="exact"/>
        <w:ind w:firstLineChars="214" w:firstLine="685"/>
        <w:rPr>
          <w:rFonts w:ascii="Times New Roman" w:eastAsia="方正仿宋_GBK" w:hAnsi="Times New Roman" w:cs="Times New Roman"/>
          <w:sz w:val="32"/>
          <w:szCs w:val="32"/>
        </w:rPr>
      </w:pPr>
      <w:r w:rsidRPr="004F6E30">
        <w:rPr>
          <w:rFonts w:ascii="Times New Roman" w:eastAsia="方正仿宋_GBK" w:hAnsi="Times New Roman" w:cs="Times New Roman" w:hint="eastAsia"/>
          <w:sz w:val="32"/>
          <w:szCs w:val="32"/>
        </w:rPr>
        <w:t xml:space="preserve">13. </w:t>
      </w:r>
      <w:r w:rsidRPr="004F6E30">
        <w:rPr>
          <w:rFonts w:ascii="Times New Roman" w:eastAsia="方正仿宋_GBK" w:hAnsi="Times New Roman" w:cs="Times New Roman" w:hint="eastAsia"/>
          <w:sz w:val="32"/>
          <w:szCs w:val="32"/>
        </w:rPr>
        <w:t>承办上级交办的其他事项。</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楷体_GBK" w:hAnsi="Times New Roman" w:cs="Times New Roman"/>
          <w:color w:val="FF0000"/>
          <w:sz w:val="32"/>
          <w:szCs w:val="32"/>
        </w:rPr>
      </w:pPr>
      <w:r>
        <w:rPr>
          <w:rStyle w:val="a7"/>
          <w:rFonts w:ascii="Times New Roman" w:eastAsia="方正楷体_GBK" w:hAnsi="Times New Roman" w:cs="Times New Roman"/>
          <w:sz w:val="32"/>
          <w:szCs w:val="32"/>
        </w:rPr>
        <w:t>（二）机构设置。</w:t>
      </w:r>
    </w:p>
    <w:p w:rsidR="004F6E30" w:rsidRDefault="004F6E30" w:rsidP="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kern w:val="2"/>
          <w:sz w:val="32"/>
          <w:szCs w:val="32"/>
        </w:rPr>
      </w:pPr>
      <w:r w:rsidRPr="004F6E30">
        <w:rPr>
          <w:rFonts w:ascii="Times New Roman" w:eastAsia="方正仿宋_GBK" w:hAnsi="Times New Roman" w:cs="Times New Roman" w:hint="eastAsia"/>
          <w:kern w:val="2"/>
          <w:sz w:val="32"/>
          <w:szCs w:val="32"/>
        </w:rPr>
        <w:t>区局内设机构（二级机构）</w:t>
      </w:r>
      <w:r w:rsidRPr="004F6E30">
        <w:rPr>
          <w:rFonts w:ascii="Times New Roman" w:eastAsia="方正仿宋_GBK" w:hAnsi="Times New Roman" w:cs="Times New Roman" w:hint="eastAsia"/>
          <w:kern w:val="2"/>
          <w:sz w:val="32"/>
          <w:szCs w:val="32"/>
        </w:rPr>
        <w:t>21</w:t>
      </w:r>
      <w:r w:rsidRPr="004F6E30">
        <w:rPr>
          <w:rFonts w:ascii="Times New Roman" w:eastAsia="方正仿宋_GBK" w:hAnsi="Times New Roman" w:cs="Times New Roman" w:hint="eastAsia"/>
          <w:kern w:val="2"/>
          <w:sz w:val="32"/>
          <w:szCs w:val="32"/>
        </w:rPr>
        <w:t>个，挂牌机构</w:t>
      </w:r>
      <w:r w:rsidR="0074395A">
        <w:rPr>
          <w:rFonts w:ascii="Times New Roman" w:eastAsia="方正仿宋_GBK" w:hAnsi="Times New Roman" w:cs="Times New Roman" w:hint="eastAsia"/>
          <w:kern w:val="2"/>
          <w:sz w:val="32"/>
          <w:szCs w:val="32"/>
        </w:rPr>
        <w:t>6</w:t>
      </w:r>
      <w:r w:rsidRPr="004F6E30">
        <w:rPr>
          <w:rFonts w:ascii="Times New Roman" w:eastAsia="方正仿宋_GBK" w:hAnsi="Times New Roman" w:cs="Times New Roman" w:hint="eastAsia"/>
          <w:kern w:val="2"/>
          <w:sz w:val="32"/>
          <w:szCs w:val="32"/>
        </w:rPr>
        <w:t>个，公安派出所</w:t>
      </w:r>
      <w:r w:rsidRPr="004F6E30">
        <w:rPr>
          <w:rFonts w:ascii="Times New Roman" w:eastAsia="方正仿宋_GBK" w:hAnsi="Times New Roman" w:cs="Times New Roman" w:hint="eastAsia"/>
          <w:kern w:val="2"/>
          <w:sz w:val="32"/>
          <w:szCs w:val="32"/>
        </w:rPr>
        <w:t>22</w:t>
      </w:r>
      <w:r w:rsidRPr="004F6E30">
        <w:rPr>
          <w:rFonts w:ascii="Times New Roman" w:eastAsia="方正仿宋_GBK" w:hAnsi="Times New Roman" w:cs="Times New Roman" w:hint="eastAsia"/>
          <w:kern w:val="2"/>
          <w:sz w:val="32"/>
          <w:szCs w:val="32"/>
        </w:rPr>
        <w:t>个（其中城区派出所</w:t>
      </w:r>
      <w:r w:rsidRPr="004F6E30">
        <w:rPr>
          <w:rFonts w:ascii="Times New Roman" w:eastAsia="方正仿宋_GBK" w:hAnsi="Times New Roman" w:cs="Times New Roman" w:hint="eastAsia"/>
          <w:kern w:val="2"/>
          <w:sz w:val="32"/>
          <w:szCs w:val="32"/>
        </w:rPr>
        <w:t>2</w:t>
      </w:r>
      <w:r w:rsidRPr="004F6E30">
        <w:rPr>
          <w:rFonts w:ascii="Times New Roman" w:eastAsia="方正仿宋_GBK" w:hAnsi="Times New Roman" w:cs="Times New Roman" w:hint="eastAsia"/>
          <w:kern w:val="2"/>
          <w:sz w:val="32"/>
          <w:szCs w:val="32"/>
        </w:rPr>
        <w:t>个，农村派出所</w:t>
      </w:r>
      <w:r w:rsidRPr="004F6E30">
        <w:rPr>
          <w:rFonts w:ascii="Times New Roman" w:eastAsia="方正仿宋_GBK" w:hAnsi="Times New Roman" w:cs="Times New Roman" w:hint="eastAsia"/>
          <w:kern w:val="2"/>
          <w:sz w:val="32"/>
          <w:szCs w:val="32"/>
        </w:rPr>
        <w:t>20</w:t>
      </w:r>
      <w:r w:rsidRPr="004F6E30">
        <w:rPr>
          <w:rFonts w:ascii="Times New Roman" w:eastAsia="方正仿宋_GBK" w:hAnsi="Times New Roman" w:cs="Times New Roman" w:hint="eastAsia"/>
          <w:kern w:val="2"/>
          <w:sz w:val="32"/>
          <w:szCs w:val="32"/>
        </w:rPr>
        <w:t>个</w:t>
      </w:r>
      <w:r w:rsidRPr="004F6E30">
        <w:rPr>
          <w:rFonts w:ascii="Times New Roman" w:eastAsia="方正仿宋_GBK" w:hAnsi="Times New Roman" w:cs="Times New Roman" w:hint="eastAsia"/>
          <w:kern w:val="2"/>
          <w:sz w:val="32"/>
          <w:szCs w:val="32"/>
        </w:rPr>
        <w:t>)</w:t>
      </w:r>
      <w:r w:rsidRPr="004F6E30">
        <w:rPr>
          <w:rFonts w:ascii="Times New Roman" w:eastAsia="方正仿宋_GBK" w:hAnsi="Times New Roman" w:cs="Times New Roman" w:hint="eastAsia"/>
          <w:kern w:val="2"/>
          <w:sz w:val="32"/>
          <w:szCs w:val="32"/>
        </w:rPr>
        <w:t>。</w:t>
      </w:r>
    </w:p>
    <w:p w:rsidR="006B34BD" w:rsidRDefault="004F6E30" w:rsidP="004F6E30">
      <w:pPr>
        <w:pStyle w:val="a6"/>
        <w:shd w:val="clear" w:color="auto" w:fill="FFFFFF"/>
        <w:spacing w:before="0" w:beforeAutospacing="0" w:after="0" w:afterAutospacing="0" w:line="594" w:lineRule="exact"/>
        <w:ind w:firstLineChars="200" w:firstLine="640"/>
        <w:rPr>
          <w:rStyle w:val="a7"/>
          <w:rFonts w:ascii="Times New Roman" w:eastAsia="方正楷体_GBK" w:hAnsi="Times New Roman" w:cs="Times New Roman"/>
          <w:sz w:val="32"/>
          <w:szCs w:val="32"/>
        </w:rPr>
      </w:pPr>
      <w:r>
        <w:rPr>
          <w:rStyle w:val="a7"/>
          <w:rFonts w:ascii="Times New Roman" w:eastAsia="方正楷体_GBK" w:hAnsi="Times New Roman" w:cs="Times New Roman"/>
          <w:sz w:val="32"/>
          <w:szCs w:val="32"/>
        </w:rPr>
        <w:t>（三）单位构成。</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kern w:val="2"/>
          <w:sz w:val="32"/>
          <w:szCs w:val="32"/>
        </w:rPr>
        <w:t>从预算单位构成看，纳入本部门</w:t>
      </w:r>
      <w:r>
        <w:rPr>
          <w:rFonts w:ascii="Times New Roman" w:eastAsia="方正仿宋_GBK" w:hAnsi="Times New Roman" w:cs="Times New Roman"/>
          <w:kern w:val="2"/>
          <w:sz w:val="32"/>
          <w:szCs w:val="32"/>
        </w:rPr>
        <w:t>2019</w:t>
      </w:r>
      <w:r>
        <w:rPr>
          <w:rFonts w:ascii="Times New Roman" w:eastAsia="方正仿宋_GBK" w:hAnsi="Times New Roman" w:cs="Times New Roman"/>
          <w:kern w:val="2"/>
          <w:sz w:val="32"/>
          <w:szCs w:val="32"/>
        </w:rPr>
        <w:t>年度决算编制的单位主要包括</w:t>
      </w:r>
      <w:r>
        <w:rPr>
          <w:rFonts w:ascii="Times New Roman" w:eastAsia="方正仿宋_GBK" w:hAnsi="Times New Roman" w:cs="Times New Roman" w:hint="eastAsia"/>
          <w:kern w:val="2"/>
          <w:sz w:val="32"/>
          <w:szCs w:val="32"/>
        </w:rPr>
        <w:t>警令处、政治处、警保处、科信科、审计室、指挥中心、情报信息支队、警务督察支队、国家安全保卫支队、刑事侦查支队、治安管理支队、交通巡逻警察支队、禁毒支队、经济犯罪侦查支队、法制支队、网络安全保卫支队、出入境管理支队、特警支队、看守所、拘戒所</w:t>
      </w:r>
      <w:r w:rsidR="0074395A">
        <w:rPr>
          <w:rFonts w:ascii="Times New Roman" w:eastAsia="方正仿宋_GBK" w:hAnsi="Times New Roman" w:cs="Times New Roman" w:hint="eastAsia"/>
          <w:kern w:val="2"/>
          <w:sz w:val="32"/>
          <w:szCs w:val="32"/>
        </w:rPr>
        <w:t>等</w:t>
      </w:r>
      <w:r w:rsidR="0074395A" w:rsidRPr="0074395A">
        <w:rPr>
          <w:rFonts w:ascii="Times New Roman" w:eastAsia="方正仿宋_GBK" w:hAnsi="Times New Roman" w:cs="Times New Roman" w:hint="eastAsia"/>
          <w:kern w:val="2"/>
          <w:sz w:val="32"/>
          <w:szCs w:val="32"/>
        </w:rPr>
        <w:t>内设机构（二级机构）</w:t>
      </w:r>
      <w:r w:rsidR="0074395A" w:rsidRPr="0074395A">
        <w:rPr>
          <w:rFonts w:ascii="Times New Roman" w:eastAsia="方正仿宋_GBK" w:hAnsi="Times New Roman" w:cs="Times New Roman" w:hint="eastAsia"/>
          <w:kern w:val="2"/>
          <w:sz w:val="32"/>
          <w:szCs w:val="32"/>
        </w:rPr>
        <w:t>21</w:t>
      </w:r>
      <w:r w:rsidR="0074395A" w:rsidRPr="0074395A">
        <w:rPr>
          <w:rFonts w:ascii="Times New Roman" w:eastAsia="方正仿宋_GBK" w:hAnsi="Times New Roman" w:cs="Times New Roman" w:hint="eastAsia"/>
          <w:kern w:val="2"/>
          <w:sz w:val="32"/>
          <w:szCs w:val="32"/>
        </w:rPr>
        <w:t>个，挂牌机构</w:t>
      </w:r>
      <w:r w:rsidR="0074395A" w:rsidRPr="0074395A">
        <w:rPr>
          <w:rFonts w:ascii="Times New Roman" w:eastAsia="方正仿宋_GBK" w:hAnsi="Times New Roman" w:cs="Times New Roman" w:hint="eastAsia"/>
          <w:kern w:val="2"/>
          <w:sz w:val="32"/>
          <w:szCs w:val="32"/>
        </w:rPr>
        <w:t>6</w:t>
      </w:r>
      <w:r w:rsidR="0074395A" w:rsidRPr="0074395A">
        <w:rPr>
          <w:rFonts w:ascii="Times New Roman" w:eastAsia="方正仿宋_GBK" w:hAnsi="Times New Roman" w:cs="Times New Roman" w:hint="eastAsia"/>
          <w:kern w:val="2"/>
          <w:sz w:val="32"/>
          <w:szCs w:val="32"/>
        </w:rPr>
        <w:t>个，公安派出所</w:t>
      </w:r>
      <w:r w:rsidR="0074395A" w:rsidRPr="0074395A">
        <w:rPr>
          <w:rFonts w:ascii="Times New Roman" w:eastAsia="方正仿宋_GBK" w:hAnsi="Times New Roman" w:cs="Times New Roman" w:hint="eastAsia"/>
          <w:kern w:val="2"/>
          <w:sz w:val="32"/>
          <w:szCs w:val="32"/>
        </w:rPr>
        <w:t>22</w:t>
      </w:r>
      <w:r w:rsidR="0074395A" w:rsidRPr="0074395A">
        <w:rPr>
          <w:rFonts w:ascii="Times New Roman" w:eastAsia="方正仿宋_GBK" w:hAnsi="Times New Roman" w:cs="Times New Roman" w:hint="eastAsia"/>
          <w:kern w:val="2"/>
          <w:sz w:val="32"/>
          <w:szCs w:val="32"/>
        </w:rPr>
        <w:t>个（其中城区派出所</w:t>
      </w:r>
      <w:r w:rsidR="0074395A" w:rsidRPr="0074395A">
        <w:rPr>
          <w:rFonts w:ascii="Times New Roman" w:eastAsia="方正仿宋_GBK" w:hAnsi="Times New Roman" w:cs="Times New Roman" w:hint="eastAsia"/>
          <w:kern w:val="2"/>
          <w:sz w:val="32"/>
          <w:szCs w:val="32"/>
        </w:rPr>
        <w:t>2</w:t>
      </w:r>
      <w:r w:rsidR="0074395A" w:rsidRPr="0074395A">
        <w:rPr>
          <w:rFonts w:ascii="Times New Roman" w:eastAsia="方正仿宋_GBK" w:hAnsi="Times New Roman" w:cs="Times New Roman" w:hint="eastAsia"/>
          <w:kern w:val="2"/>
          <w:sz w:val="32"/>
          <w:szCs w:val="32"/>
        </w:rPr>
        <w:t>个，农村派出所</w:t>
      </w:r>
      <w:r w:rsidR="0074395A" w:rsidRPr="0074395A">
        <w:rPr>
          <w:rFonts w:ascii="Times New Roman" w:eastAsia="方正仿宋_GBK" w:hAnsi="Times New Roman" w:cs="Times New Roman" w:hint="eastAsia"/>
          <w:kern w:val="2"/>
          <w:sz w:val="32"/>
          <w:szCs w:val="32"/>
        </w:rPr>
        <w:t>20</w:t>
      </w:r>
      <w:r w:rsidR="0074395A" w:rsidRPr="0074395A">
        <w:rPr>
          <w:rFonts w:ascii="Times New Roman" w:eastAsia="方正仿宋_GBK" w:hAnsi="Times New Roman" w:cs="Times New Roman" w:hint="eastAsia"/>
          <w:kern w:val="2"/>
          <w:sz w:val="32"/>
          <w:szCs w:val="32"/>
        </w:rPr>
        <w:t>个</w:t>
      </w:r>
      <w:r w:rsidR="0074395A" w:rsidRPr="0074395A">
        <w:rPr>
          <w:rFonts w:ascii="Times New Roman" w:eastAsia="方正仿宋_GBK" w:hAnsi="Times New Roman" w:cs="Times New Roman" w:hint="eastAsia"/>
          <w:kern w:val="2"/>
          <w:sz w:val="32"/>
          <w:szCs w:val="32"/>
        </w:rPr>
        <w:t>)</w:t>
      </w:r>
      <w:r>
        <w:rPr>
          <w:rFonts w:ascii="Times New Roman" w:eastAsia="方正仿宋_GBK" w:hAnsi="Times New Roman" w:cs="Times New Roman"/>
          <w:sz w:val="32"/>
          <w:szCs w:val="32"/>
        </w:rPr>
        <w:t>统一进行核算。</w:t>
      </w:r>
    </w:p>
    <w:p w:rsidR="006B34BD" w:rsidRDefault="004F6E30">
      <w:pPr>
        <w:spacing w:line="594" w:lineRule="exact"/>
        <w:ind w:firstLineChars="214" w:firstLine="685"/>
        <w:rPr>
          <w:rFonts w:ascii="Times New Roman" w:hAnsi="Times New Roman" w:cs="Times New Roman"/>
          <w:sz w:val="32"/>
          <w:szCs w:val="32"/>
        </w:rPr>
      </w:pPr>
      <w:r>
        <w:rPr>
          <w:rStyle w:val="a7"/>
          <w:rFonts w:ascii="Times New Roman" w:eastAsia="方正楷体_GBK" w:hAnsi="Times New Roman" w:cs="Times New Roman"/>
          <w:sz w:val="32"/>
          <w:szCs w:val="32"/>
        </w:rPr>
        <w:lastRenderedPageBreak/>
        <w:t>（四）机构改革情况。</w:t>
      </w:r>
    </w:p>
    <w:p w:rsidR="0074395A" w:rsidRPr="0074395A" w:rsidRDefault="0074395A" w:rsidP="0074395A">
      <w:pPr>
        <w:pStyle w:val="a6"/>
        <w:spacing w:before="0" w:beforeAutospacing="0" w:after="0" w:afterAutospacing="0" w:line="594" w:lineRule="exact"/>
        <w:ind w:firstLineChars="200" w:firstLine="640"/>
        <w:rPr>
          <w:rFonts w:ascii="Times New Roman" w:eastAsia="方正仿宋_GBK" w:hAnsi="Times New Roman" w:cs="Times New Roman"/>
          <w:sz w:val="32"/>
          <w:szCs w:val="32"/>
        </w:rPr>
      </w:pPr>
      <w:r w:rsidRPr="0074395A">
        <w:rPr>
          <w:rFonts w:ascii="Times New Roman" w:eastAsia="方正仿宋_GBK" w:hAnsi="Times New Roman" w:cs="Times New Roman" w:hint="eastAsia"/>
          <w:sz w:val="32"/>
          <w:szCs w:val="32"/>
        </w:rPr>
        <w:t>按照重庆市公安局机构改革要求，本部门</w:t>
      </w:r>
      <w:r w:rsidRPr="0074395A">
        <w:rPr>
          <w:rFonts w:ascii="Times New Roman" w:eastAsia="方正仿宋_GBK" w:hAnsi="Times New Roman" w:cs="Times New Roman" w:hint="eastAsia"/>
          <w:sz w:val="32"/>
          <w:szCs w:val="32"/>
        </w:rPr>
        <w:t>201</w:t>
      </w:r>
      <w:r>
        <w:rPr>
          <w:rFonts w:ascii="Times New Roman" w:eastAsia="方正仿宋_GBK" w:hAnsi="Times New Roman" w:cs="Times New Roman" w:hint="eastAsia"/>
          <w:sz w:val="32"/>
          <w:szCs w:val="32"/>
        </w:rPr>
        <w:t>9</w:t>
      </w:r>
      <w:r w:rsidRPr="0074395A">
        <w:rPr>
          <w:rFonts w:ascii="Times New Roman" w:eastAsia="方正仿宋_GBK" w:hAnsi="Times New Roman" w:cs="Times New Roman" w:hint="eastAsia"/>
          <w:sz w:val="32"/>
          <w:szCs w:val="32"/>
        </w:rPr>
        <w:t>年未涉及机构改革。</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黑体_GBK" w:hAnsi="Times New Roman" w:cs="Times New Roman"/>
          <w:b/>
          <w:sz w:val="32"/>
          <w:szCs w:val="32"/>
        </w:rPr>
      </w:pPr>
      <w:r>
        <w:rPr>
          <w:rStyle w:val="a7"/>
          <w:rFonts w:ascii="Times New Roman" w:eastAsia="方正黑体_GBK" w:hAnsi="Times New Roman" w:cs="Times New Roman"/>
          <w:b w:val="0"/>
          <w:sz w:val="32"/>
          <w:szCs w:val="32"/>
        </w:rPr>
        <w:t>二、部门决算情况说明</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楷体_GBK" w:hAnsi="Times New Roman" w:cs="Times New Roman"/>
          <w:sz w:val="32"/>
          <w:szCs w:val="32"/>
        </w:rPr>
      </w:pPr>
      <w:r>
        <w:rPr>
          <w:rStyle w:val="a7"/>
          <w:rFonts w:ascii="Times New Roman" w:eastAsia="方正楷体_GBK" w:hAnsi="Times New Roman" w:cs="Times New Roman"/>
          <w:sz w:val="32"/>
          <w:szCs w:val="32"/>
        </w:rPr>
        <w:t>（一）收入支出决算总体情况说明</w:t>
      </w:r>
    </w:p>
    <w:p w:rsidR="00CE4220" w:rsidRDefault="004F6E30" w:rsidP="004F6E30">
      <w:pPr>
        <w:pStyle w:val="a6"/>
        <w:shd w:val="clear" w:color="auto" w:fill="FFFFFF"/>
        <w:spacing w:before="0" w:beforeAutospacing="0" w:after="0" w:afterAutospacing="0" w:line="594" w:lineRule="exact"/>
        <w:ind w:firstLineChars="200" w:firstLine="643"/>
        <w:rPr>
          <w:rFonts w:ascii="Times New Roman" w:eastAsia="方正仿宋_GBK" w:hAnsi="Times New Roman" w:cs="Times New Roman"/>
          <w:kern w:val="2"/>
          <w:sz w:val="32"/>
          <w:szCs w:val="32"/>
        </w:rPr>
      </w:pPr>
      <w:r>
        <w:rPr>
          <w:rStyle w:val="a7"/>
          <w:rFonts w:ascii="Times New Roman" w:eastAsia="方正仿宋_GBK" w:hAnsi="Times New Roman" w:cs="Times New Roman"/>
          <w:sz w:val="32"/>
          <w:szCs w:val="32"/>
        </w:rPr>
        <w:t>1.</w:t>
      </w:r>
      <w:r>
        <w:rPr>
          <w:rStyle w:val="a7"/>
          <w:rFonts w:ascii="Times New Roman" w:eastAsia="方正仿宋_GBK" w:hAnsi="Times New Roman" w:cs="Times New Roman"/>
          <w:sz w:val="32"/>
          <w:szCs w:val="32"/>
        </w:rPr>
        <w:t>总体情况。</w:t>
      </w:r>
      <w:r>
        <w:rPr>
          <w:rFonts w:ascii="Times New Roman" w:eastAsia="方正仿宋_GBK" w:hAnsi="Times New Roman" w:cs="Times New Roman"/>
          <w:kern w:val="2"/>
          <w:sz w:val="32"/>
          <w:szCs w:val="32"/>
        </w:rPr>
        <w:t>2019</w:t>
      </w:r>
      <w:r>
        <w:rPr>
          <w:rFonts w:ascii="Times New Roman" w:eastAsia="方正仿宋_GBK" w:hAnsi="Times New Roman" w:cs="Times New Roman"/>
          <w:kern w:val="2"/>
          <w:sz w:val="32"/>
          <w:szCs w:val="32"/>
        </w:rPr>
        <w:t>年度收入总计</w:t>
      </w:r>
      <w:r w:rsidR="0074395A">
        <w:rPr>
          <w:rFonts w:ascii="Times New Roman" w:eastAsia="方正仿宋_GBK" w:hAnsi="Times New Roman" w:cs="Times New Roman" w:hint="eastAsia"/>
          <w:kern w:val="2"/>
          <w:sz w:val="32"/>
          <w:szCs w:val="32"/>
        </w:rPr>
        <w:t>35362.10</w:t>
      </w:r>
      <w:r>
        <w:rPr>
          <w:rFonts w:ascii="Times New Roman" w:eastAsia="方正仿宋_GBK" w:hAnsi="Times New Roman" w:cs="Times New Roman"/>
          <w:kern w:val="2"/>
          <w:sz w:val="32"/>
          <w:szCs w:val="32"/>
        </w:rPr>
        <w:t>万元，支出总计</w:t>
      </w:r>
      <w:r w:rsidR="0074395A">
        <w:rPr>
          <w:rFonts w:ascii="Times New Roman" w:eastAsia="方正仿宋_GBK" w:hAnsi="Times New Roman" w:cs="Times New Roman" w:hint="eastAsia"/>
          <w:kern w:val="2"/>
          <w:sz w:val="32"/>
          <w:szCs w:val="32"/>
        </w:rPr>
        <w:t>35362.10</w:t>
      </w:r>
      <w:r w:rsidR="0074395A">
        <w:rPr>
          <w:rFonts w:ascii="Times New Roman" w:eastAsia="方正仿宋_GBK" w:hAnsi="Times New Roman" w:cs="Times New Roman"/>
          <w:kern w:val="2"/>
          <w:sz w:val="32"/>
          <w:szCs w:val="32"/>
        </w:rPr>
        <w:t>万元</w:t>
      </w:r>
      <w:r>
        <w:rPr>
          <w:rFonts w:ascii="Times New Roman" w:eastAsia="方正仿宋_GBK" w:hAnsi="Times New Roman" w:cs="Times New Roman"/>
          <w:kern w:val="2"/>
          <w:sz w:val="32"/>
          <w:szCs w:val="32"/>
        </w:rPr>
        <w:t>。收</w:t>
      </w:r>
      <w:r w:rsidR="004B5285">
        <w:rPr>
          <w:rFonts w:ascii="Times New Roman" w:eastAsia="方正仿宋_GBK" w:hAnsi="Times New Roman" w:cs="Times New Roman" w:hint="eastAsia"/>
          <w:kern w:val="2"/>
          <w:sz w:val="32"/>
          <w:szCs w:val="32"/>
        </w:rPr>
        <w:t>入</w:t>
      </w:r>
      <w:r>
        <w:rPr>
          <w:rFonts w:ascii="Times New Roman" w:eastAsia="方正仿宋_GBK" w:hAnsi="Times New Roman" w:cs="Times New Roman"/>
          <w:kern w:val="2"/>
          <w:sz w:val="32"/>
          <w:szCs w:val="32"/>
        </w:rPr>
        <w:t>较上年决算数</w:t>
      </w:r>
      <w:r w:rsidR="00CE4220">
        <w:rPr>
          <w:rFonts w:ascii="Times New Roman" w:eastAsia="方正仿宋_GBK" w:hAnsi="Times New Roman" w:cs="Times New Roman" w:hint="eastAsia"/>
          <w:kern w:val="2"/>
          <w:sz w:val="32"/>
          <w:szCs w:val="32"/>
        </w:rPr>
        <w:t>增加</w:t>
      </w:r>
      <w:r w:rsidR="00CE4220">
        <w:rPr>
          <w:rFonts w:ascii="Times New Roman" w:eastAsia="方正仿宋_GBK" w:hAnsi="Times New Roman" w:cs="Times New Roman" w:hint="eastAsia"/>
          <w:kern w:val="2"/>
          <w:sz w:val="32"/>
          <w:szCs w:val="32"/>
        </w:rPr>
        <w:t>11460.26</w:t>
      </w:r>
      <w:r>
        <w:rPr>
          <w:rFonts w:ascii="Times New Roman" w:eastAsia="方正仿宋_GBK" w:hAnsi="Times New Roman" w:cs="Times New Roman"/>
          <w:kern w:val="2"/>
          <w:sz w:val="32"/>
          <w:szCs w:val="32"/>
        </w:rPr>
        <w:t>万元、</w:t>
      </w:r>
      <w:r w:rsidR="00CE4220">
        <w:rPr>
          <w:rFonts w:ascii="Times New Roman" w:eastAsia="方正仿宋_GBK" w:hAnsi="Times New Roman" w:cs="Times New Roman" w:hint="eastAsia"/>
          <w:kern w:val="2"/>
          <w:sz w:val="32"/>
          <w:szCs w:val="32"/>
        </w:rPr>
        <w:t>增加</w:t>
      </w:r>
      <w:r w:rsidR="00CE4220">
        <w:rPr>
          <w:rFonts w:ascii="Times New Roman" w:eastAsia="方正仿宋_GBK" w:hAnsi="Times New Roman" w:cs="Times New Roman" w:hint="eastAsia"/>
          <w:kern w:val="2"/>
          <w:sz w:val="32"/>
          <w:szCs w:val="32"/>
        </w:rPr>
        <w:t>47.94</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sidR="004B5285">
        <w:rPr>
          <w:rFonts w:ascii="Times New Roman" w:eastAsia="方正仿宋_GBK" w:hAnsi="Times New Roman" w:cs="Times New Roman" w:hint="eastAsia"/>
          <w:kern w:val="2"/>
          <w:sz w:val="32"/>
          <w:szCs w:val="32"/>
        </w:rPr>
        <w:t>支出较上年决算数增加</w:t>
      </w:r>
      <w:r w:rsidR="004B5285">
        <w:rPr>
          <w:rFonts w:ascii="Times New Roman" w:eastAsia="方正仿宋_GBK" w:hAnsi="Times New Roman" w:cs="Times New Roman" w:hint="eastAsia"/>
          <w:kern w:val="2"/>
          <w:sz w:val="32"/>
          <w:szCs w:val="32"/>
        </w:rPr>
        <w:tab/>
      </w:r>
      <w:r w:rsidR="009F5979">
        <w:rPr>
          <w:rFonts w:ascii="Times New Roman" w:eastAsia="方正仿宋_GBK" w:hAnsi="Times New Roman" w:cs="Times New Roman" w:hint="eastAsia"/>
          <w:kern w:val="2"/>
          <w:sz w:val="32"/>
          <w:szCs w:val="32"/>
        </w:rPr>
        <w:t>11271.65</w:t>
      </w:r>
      <w:r w:rsidR="009F5979">
        <w:rPr>
          <w:rFonts w:ascii="Times New Roman" w:eastAsia="方正仿宋_GBK" w:hAnsi="Times New Roman" w:cs="Times New Roman" w:hint="eastAsia"/>
          <w:kern w:val="2"/>
          <w:sz w:val="32"/>
          <w:szCs w:val="32"/>
        </w:rPr>
        <w:t>万元，增加</w:t>
      </w:r>
      <w:r w:rsidR="009F5979">
        <w:rPr>
          <w:rFonts w:ascii="Times New Roman" w:eastAsia="方正仿宋_GBK" w:hAnsi="Times New Roman" w:cs="Times New Roman" w:hint="eastAsia"/>
          <w:kern w:val="2"/>
          <w:sz w:val="32"/>
          <w:szCs w:val="32"/>
        </w:rPr>
        <w:t>46.79%</w:t>
      </w:r>
      <w:r w:rsidR="009F5979">
        <w:rPr>
          <w:rFonts w:ascii="Times New Roman" w:eastAsia="方正仿宋_GBK" w:hAnsi="Times New Roman" w:cs="Times New Roman" w:hint="eastAsia"/>
          <w:kern w:val="2"/>
          <w:sz w:val="32"/>
          <w:szCs w:val="32"/>
        </w:rPr>
        <w:t>，</w:t>
      </w:r>
      <w:r>
        <w:rPr>
          <w:rFonts w:ascii="Times New Roman" w:eastAsia="方正仿宋_GBK" w:hAnsi="Times New Roman" w:cs="Times New Roman"/>
          <w:kern w:val="2"/>
          <w:sz w:val="32"/>
          <w:szCs w:val="32"/>
        </w:rPr>
        <w:t>主要原因是</w:t>
      </w:r>
      <w:r w:rsidR="004B5285">
        <w:rPr>
          <w:rFonts w:ascii="Times New Roman" w:eastAsia="方正仿宋_GBK" w:hAnsi="Times New Roman" w:cs="Times New Roman" w:hint="eastAsia"/>
          <w:kern w:val="2"/>
          <w:sz w:val="32"/>
          <w:szCs w:val="32"/>
        </w:rPr>
        <w:t>追加</w:t>
      </w:r>
      <w:r w:rsidR="00CE4220" w:rsidRPr="00CE4220">
        <w:rPr>
          <w:rFonts w:ascii="Times New Roman" w:eastAsia="方正仿宋_GBK" w:hAnsi="Times New Roman" w:cs="Times New Roman" w:hint="eastAsia"/>
          <w:kern w:val="2"/>
          <w:sz w:val="32"/>
          <w:szCs w:val="32"/>
        </w:rPr>
        <w:t>201</w:t>
      </w:r>
      <w:r w:rsidR="00CE4220">
        <w:rPr>
          <w:rFonts w:ascii="Times New Roman" w:eastAsia="方正仿宋_GBK" w:hAnsi="Times New Roman" w:cs="Times New Roman" w:hint="eastAsia"/>
          <w:kern w:val="2"/>
          <w:sz w:val="32"/>
          <w:szCs w:val="32"/>
        </w:rPr>
        <w:t>9</w:t>
      </w:r>
      <w:r w:rsidR="00CE4220" w:rsidRPr="00CE4220">
        <w:rPr>
          <w:rFonts w:ascii="Times New Roman" w:eastAsia="方正仿宋_GBK" w:hAnsi="Times New Roman" w:cs="Times New Roman" w:hint="eastAsia"/>
          <w:kern w:val="2"/>
          <w:sz w:val="32"/>
          <w:szCs w:val="32"/>
        </w:rPr>
        <w:t>年度新招录辅警</w:t>
      </w:r>
      <w:r w:rsidR="00CE4220" w:rsidRPr="00CE4220">
        <w:rPr>
          <w:rFonts w:ascii="Times New Roman" w:eastAsia="方正仿宋_GBK" w:hAnsi="Times New Roman" w:cs="Times New Roman" w:hint="eastAsia"/>
          <w:kern w:val="2"/>
          <w:sz w:val="32"/>
          <w:szCs w:val="32"/>
        </w:rPr>
        <w:t>100</w:t>
      </w:r>
      <w:r w:rsidR="00CE4220" w:rsidRPr="00CE4220">
        <w:rPr>
          <w:rFonts w:ascii="Times New Roman" w:eastAsia="方正仿宋_GBK" w:hAnsi="Times New Roman" w:cs="Times New Roman" w:hint="eastAsia"/>
          <w:kern w:val="2"/>
          <w:sz w:val="32"/>
          <w:szCs w:val="32"/>
        </w:rPr>
        <w:t>人</w:t>
      </w:r>
      <w:r w:rsidR="004B5285">
        <w:rPr>
          <w:rFonts w:ascii="Times New Roman" w:eastAsia="方正仿宋_GBK" w:hAnsi="Times New Roman" w:cs="Times New Roman" w:hint="eastAsia"/>
          <w:kern w:val="2"/>
          <w:sz w:val="32"/>
          <w:szCs w:val="32"/>
        </w:rPr>
        <w:t>经费</w:t>
      </w:r>
      <w:r w:rsidR="00CE4220" w:rsidRPr="00CE4220">
        <w:rPr>
          <w:rFonts w:ascii="Times New Roman" w:eastAsia="方正仿宋_GBK" w:hAnsi="Times New Roman" w:cs="Times New Roman" w:hint="eastAsia"/>
          <w:kern w:val="2"/>
          <w:sz w:val="32"/>
          <w:szCs w:val="32"/>
        </w:rPr>
        <w:t>，安排</w:t>
      </w:r>
      <w:r w:rsidR="004B5285">
        <w:rPr>
          <w:rFonts w:ascii="Times New Roman" w:eastAsia="方正仿宋_GBK" w:hAnsi="Times New Roman" w:cs="Times New Roman" w:hint="eastAsia"/>
          <w:kern w:val="2"/>
          <w:sz w:val="32"/>
          <w:szCs w:val="32"/>
        </w:rPr>
        <w:t>“</w:t>
      </w:r>
      <w:r w:rsidR="003E2433">
        <w:rPr>
          <w:rFonts w:ascii="Times New Roman" w:eastAsia="方正仿宋_GBK" w:hAnsi="Times New Roman" w:cs="Times New Roman" w:hint="eastAsia"/>
          <w:kern w:val="2"/>
          <w:sz w:val="32"/>
          <w:szCs w:val="32"/>
        </w:rPr>
        <w:t>三所一队</w:t>
      </w:r>
      <w:r w:rsidR="004B5285">
        <w:rPr>
          <w:rFonts w:ascii="Times New Roman" w:eastAsia="方正仿宋_GBK" w:hAnsi="Times New Roman" w:cs="Times New Roman" w:hint="eastAsia"/>
          <w:kern w:val="2"/>
          <w:sz w:val="32"/>
          <w:szCs w:val="32"/>
        </w:rPr>
        <w:t>”</w:t>
      </w:r>
      <w:r w:rsidR="003E2433">
        <w:rPr>
          <w:rFonts w:ascii="Times New Roman" w:eastAsia="方正仿宋_GBK" w:hAnsi="Times New Roman" w:cs="Times New Roman" w:hint="eastAsia"/>
          <w:kern w:val="2"/>
          <w:sz w:val="32"/>
          <w:szCs w:val="32"/>
        </w:rPr>
        <w:t>迁建工程</w:t>
      </w:r>
      <w:r w:rsidR="004B5285">
        <w:rPr>
          <w:rFonts w:ascii="Times New Roman" w:eastAsia="方正仿宋_GBK" w:hAnsi="Times New Roman" w:cs="Times New Roman" w:hint="eastAsia"/>
          <w:kern w:val="2"/>
          <w:sz w:val="32"/>
          <w:szCs w:val="32"/>
        </w:rPr>
        <w:t>土地款</w:t>
      </w:r>
      <w:r w:rsidR="004A0A59">
        <w:rPr>
          <w:rFonts w:ascii="Times New Roman" w:eastAsia="方正仿宋_GBK" w:hAnsi="Times New Roman" w:cs="Times New Roman" w:hint="eastAsia"/>
          <w:kern w:val="2"/>
          <w:sz w:val="32"/>
          <w:szCs w:val="32"/>
        </w:rPr>
        <w:t>8470.68</w:t>
      </w:r>
      <w:r w:rsidR="004B5285">
        <w:rPr>
          <w:rFonts w:ascii="Times New Roman" w:eastAsia="方正仿宋_GBK" w:hAnsi="Times New Roman" w:cs="Times New Roman" w:hint="eastAsia"/>
          <w:kern w:val="2"/>
          <w:sz w:val="32"/>
          <w:szCs w:val="32"/>
        </w:rPr>
        <w:t>万元等</w:t>
      </w:r>
      <w:r w:rsidR="00CE4220" w:rsidRPr="00CE4220">
        <w:rPr>
          <w:rFonts w:ascii="Times New Roman" w:eastAsia="方正仿宋_GBK" w:hAnsi="Times New Roman" w:cs="Times New Roman" w:hint="eastAsia"/>
          <w:kern w:val="2"/>
          <w:sz w:val="32"/>
          <w:szCs w:val="32"/>
        </w:rPr>
        <w:t>。</w:t>
      </w:r>
    </w:p>
    <w:p w:rsidR="009F5979" w:rsidRDefault="004F6E30" w:rsidP="009F5979">
      <w:pPr>
        <w:pStyle w:val="a6"/>
        <w:shd w:val="clear" w:color="auto" w:fill="FFFFFF"/>
        <w:spacing w:before="0" w:beforeAutospacing="0" w:after="0" w:afterAutospacing="0" w:line="594" w:lineRule="exact"/>
        <w:ind w:firstLineChars="200" w:firstLine="643"/>
        <w:rPr>
          <w:rFonts w:ascii="Times New Roman" w:eastAsia="方正仿宋_GBK" w:hAnsi="Times New Roman" w:cs="Times New Roman"/>
          <w:kern w:val="2"/>
          <w:sz w:val="32"/>
          <w:szCs w:val="32"/>
        </w:rPr>
      </w:pPr>
      <w:r>
        <w:rPr>
          <w:rStyle w:val="a7"/>
          <w:rFonts w:ascii="Times New Roman" w:eastAsia="方正仿宋_GBK" w:hAnsi="Times New Roman" w:cs="Times New Roman"/>
          <w:sz w:val="32"/>
          <w:szCs w:val="32"/>
        </w:rPr>
        <w:t>2.</w:t>
      </w:r>
      <w:r>
        <w:rPr>
          <w:rStyle w:val="a7"/>
          <w:rFonts w:ascii="Times New Roman" w:eastAsia="方正仿宋_GBK" w:hAnsi="Times New Roman" w:cs="Times New Roman"/>
          <w:sz w:val="32"/>
          <w:szCs w:val="32"/>
        </w:rPr>
        <w:t>收入情况。</w:t>
      </w:r>
      <w:r>
        <w:rPr>
          <w:rFonts w:ascii="Times New Roman" w:eastAsia="方正仿宋_GBK" w:hAnsi="Times New Roman" w:cs="Times New Roman"/>
          <w:kern w:val="2"/>
          <w:sz w:val="32"/>
          <w:szCs w:val="32"/>
        </w:rPr>
        <w:t>2019</w:t>
      </w:r>
      <w:r>
        <w:rPr>
          <w:rFonts w:ascii="Times New Roman" w:eastAsia="方正仿宋_GBK" w:hAnsi="Times New Roman" w:cs="Times New Roman"/>
          <w:kern w:val="2"/>
          <w:sz w:val="32"/>
          <w:szCs w:val="32"/>
        </w:rPr>
        <w:t>年度收入合计</w:t>
      </w:r>
      <w:r w:rsidR="004B5285">
        <w:rPr>
          <w:rFonts w:ascii="Times New Roman" w:eastAsia="方正仿宋_GBK" w:hAnsi="Times New Roman" w:cs="Times New Roman" w:hint="eastAsia"/>
          <w:kern w:val="2"/>
          <w:sz w:val="32"/>
          <w:szCs w:val="32"/>
        </w:rPr>
        <w:t>35362.10</w:t>
      </w:r>
      <w:r w:rsidR="004B5285">
        <w:rPr>
          <w:rFonts w:ascii="Times New Roman" w:eastAsia="方正仿宋_GBK" w:hAnsi="Times New Roman" w:cs="Times New Roman"/>
          <w:kern w:val="2"/>
          <w:sz w:val="32"/>
          <w:szCs w:val="32"/>
        </w:rPr>
        <w:t>万元</w:t>
      </w:r>
      <w:r>
        <w:rPr>
          <w:rFonts w:ascii="Times New Roman" w:eastAsia="方正仿宋_GBK" w:hAnsi="Times New Roman" w:cs="Times New Roman"/>
          <w:kern w:val="2"/>
          <w:sz w:val="32"/>
          <w:szCs w:val="32"/>
        </w:rPr>
        <w:t>，</w:t>
      </w:r>
      <w:r w:rsidR="009F5979">
        <w:rPr>
          <w:rFonts w:ascii="Times New Roman" w:eastAsia="方正仿宋_GBK" w:hAnsi="Times New Roman" w:cs="Times New Roman"/>
          <w:kern w:val="2"/>
          <w:sz w:val="32"/>
          <w:szCs w:val="32"/>
        </w:rPr>
        <w:t>收</w:t>
      </w:r>
      <w:r w:rsidR="009F5979">
        <w:rPr>
          <w:rFonts w:ascii="Times New Roman" w:eastAsia="方正仿宋_GBK" w:hAnsi="Times New Roman" w:cs="Times New Roman" w:hint="eastAsia"/>
          <w:kern w:val="2"/>
          <w:sz w:val="32"/>
          <w:szCs w:val="32"/>
        </w:rPr>
        <w:t>入</w:t>
      </w:r>
      <w:r w:rsidR="009F5979">
        <w:rPr>
          <w:rFonts w:ascii="Times New Roman" w:eastAsia="方正仿宋_GBK" w:hAnsi="Times New Roman" w:cs="Times New Roman"/>
          <w:kern w:val="2"/>
          <w:sz w:val="32"/>
          <w:szCs w:val="32"/>
        </w:rPr>
        <w:t>较上年决算数</w:t>
      </w:r>
      <w:r w:rsidR="009F5979">
        <w:rPr>
          <w:rFonts w:ascii="Times New Roman" w:eastAsia="方正仿宋_GBK" w:hAnsi="Times New Roman" w:cs="Times New Roman" w:hint="eastAsia"/>
          <w:kern w:val="2"/>
          <w:sz w:val="32"/>
          <w:szCs w:val="32"/>
        </w:rPr>
        <w:t>增加</w:t>
      </w:r>
      <w:r w:rsidR="009F5979">
        <w:rPr>
          <w:rFonts w:ascii="Times New Roman" w:eastAsia="方正仿宋_GBK" w:hAnsi="Times New Roman" w:cs="Times New Roman" w:hint="eastAsia"/>
          <w:kern w:val="2"/>
          <w:sz w:val="32"/>
          <w:szCs w:val="32"/>
        </w:rPr>
        <w:t>11460.26</w:t>
      </w:r>
      <w:r w:rsidR="009F5979">
        <w:rPr>
          <w:rFonts w:ascii="Times New Roman" w:eastAsia="方正仿宋_GBK" w:hAnsi="Times New Roman" w:cs="Times New Roman"/>
          <w:kern w:val="2"/>
          <w:sz w:val="32"/>
          <w:szCs w:val="32"/>
        </w:rPr>
        <w:t>万元、</w:t>
      </w:r>
      <w:r w:rsidR="009F5979">
        <w:rPr>
          <w:rFonts w:ascii="Times New Roman" w:eastAsia="方正仿宋_GBK" w:hAnsi="Times New Roman" w:cs="Times New Roman" w:hint="eastAsia"/>
          <w:kern w:val="2"/>
          <w:sz w:val="32"/>
          <w:szCs w:val="32"/>
        </w:rPr>
        <w:t>增加</w:t>
      </w:r>
      <w:r w:rsidR="009F5979">
        <w:rPr>
          <w:rFonts w:ascii="Times New Roman" w:eastAsia="方正仿宋_GBK" w:hAnsi="Times New Roman" w:cs="Times New Roman" w:hint="eastAsia"/>
          <w:kern w:val="2"/>
          <w:sz w:val="32"/>
          <w:szCs w:val="32"/>
        </w:rPr>
        <w:t>47.94</w:t>
      </w:r>
      <w:r w:rsidR="009F5979">
        <w:rPr>
          <w:rFonts w:ascii="Times New Roman" w:eastAsia="方正仿宋_GBK" w:hAnsi="Times New Roman" w:cs="Times New Roman"/>
          <w:kern w:val="2"/>
          <w:sz w:val="32"/>
          <w:szCs w:val="32"/>
        </w:rPr>
        <w:t>%</w:t>
      </w:r>
      <w:r w:rsidR="009F5979">
        <w:rPr>
          <w:rFonts w:ascii="Times New Roman" w:eastAsia="方正仿宋_GBK" w:hAnsi="Times New Roman" w:cs="Times New Roman"/>
          <w:kern w:val="2"/>
          <w:sz w:val="32"/>
          <w:szCs w:val="32"/>
        </w:rPr>
        <w:t>，主要原因是</w:t>
      </w:r>
      <w:r w:rsidR="009F5979">
        <w:rPr>
          <w:rFonts w:ascii="Times New Roman" w:eastAsia="方正仿宋_GBK" w:hAnsi="Times New Roman" w:cs="Times New Roman" w:hint="eastAsia"/>
          <w:kern w:val="2"/>
          <w:sz w:val="32"/>
          <w:szCs w:val="32"/>
        </w:rPr>
        <w:t>追加</w:t>
      </w:r>
      <w:r w:rsidR="009F5979" w:rsidRPr="00CE4220">
        <w:rPr>
          <w:rFonts w:ascii="Times New Roman" w:eastAsia="方正仿宋_GBK" w:hAnsi="Times New Roman" w:cs="Times New Roman" w:hint="eastAsia"/>
          <w:kern w:val="2"/>
          <w:sz w:val="32"/>
          <w:szCs w:val="32"/>
        </w:rPr>
        <w:t>201</w:t>
      </w:r>
      <w:r w:rsidR="009F5979">
        <w:rPr>
          <w:rFonts w:ascii="Times New Roman" w:eastAsia="方正仿宋_GBK" w:hAnsi="Times New Roman" w:cs="Times New Roman" w:hint="eastAsia"/>
          <w:kern w:val="2"/>
          <w:sz w:val="32"/>
          <w:szCs w:val="32"/>
        </w:rPr>
        <w:t>9</w:t>
      </w:r>
      <w:r w:rsidR="009F5979" w:rsidRPr="00CE4220">
        <w:rPr>
          <w:rFonts w:ascii="Times New Roman" w:eastAsia="方正仿宋_GBK" w:hAnsi="Times New Roman" w:cs="Times New Roman" w:hint="eastAsia"/>
          <w:kern w:val="2"/>
          <w:sz w:val="32"/>
          <w:szCs w:val="32"/>
        </w:rPr>
        <w:t>年度新招录辅警</w:t>
      </w:r>
      <w:r w:rsidR="009F5979" w:rsidRPr="00CE4220">
        <w:rPr>
          <w:rFonts w:ascii="Times New Roman" w:eastAsia="方正仿宋_GBK" w:hAnsi="Times New Roman" w:cs="Times New Roman" w:hint="eastAsia"/>
          <w:kern w:val="2"/>
          <w:sz w:val="32"/>
          <w:szCs w:val="32"/>
        </w:rPr>
        <w:t>100</w:t>
      </w:r>
      <w:r w:rsidR="009F5979" w:rsidRPr="00CE4220">
        <w:rPr>
          <w:rFonts w:ascii="Times New Roman" w:eastAsia="方正仿宋_GBK" w:hAnsi="Times New Roman" w:cs="Times New Roman" w:hint="eastAsia"/>
          <w:kern w:val="2"/>
          <w:sz w:val="32"/>
          <w:szCs w:val="32"/>
        </w:rPr>
        <w:t>人</w:t>
      </w:r>
      <w:r w:rsidR="009F5979">
        <w:rPr>
          <w:rFonts w:ascii="Times New Roman" w:eastAsia="方正仿宋_GBK" w:hAnsi="Times New Roman" w:cs="Times New Roman" w:hint="eastAsia"/>
          <w:kern w:val="2"/>
          <w:sz w:val="32"/>
          <w:szCs w:val="32"/>
        </w:rPr>
        <w:t>经费</w:t>
      </w:r>
      <w:r w:rsidR="009F5979" w:rsidRPr="00CE4220">
        <w:rPr>
          <w:rFonts w:ascii="Times New Roman" w:eastAsia="方正仿宋_GBK" w:hAnsi="Times New Roman" w:cs="Times New Roman" w:hint="eastAsia"/>
          <w:kern w:val="2"/>
          <w:sz w:val="32"/>
          <w:szCs w:val="32"/>
        </w:rPr>
        <w:t>，安排</w:t>
      </w:r>
      <w:r w:rsidR="009F5979">
        <w:rPr>
          <w:rFonts w:ascii="Times New Roman" w:eastAsia="方正仿宋_GBK" w:hAnsi="Times New Roman" w:cs="Times New Roman" w:hint="eastAsia"/>
          <w:kern w:val="2"/>
          <w:sz w:val="32"/>
          <w:szCs w:val="32"/>
        </w:rPr>
        <w:t>“三所一队”迁建工程土地款</w:t>
      </w:r>
      <w:r w:rsidR="004A0A59">
        <w:rPr>
          <w:rFonts w:ascii="Times New Roman" w:eastAsia="方正仿宋_GBK" w:hAnsi="Times New Roman" w:cs="Times New Roman" w:hint="eastAsia"/>
          <w:kern w:val="2"/>
          <w:sz w:val="32"/>
          <w:szCs w:val="32"/>
        </w:rPr>
        <w:t>8470.68</w:t>
      </w:r>
      <w:r w:rsidR="009F5979">
        <w:rPr>
          <w:rFonts w:ascii="Times New Roman" w:eastAsia="方正仿宋_GBK" w:hAnsi="Times New Roman" w:cs="Times New Roman" w:hint="eastAsia"/>
          <w:kern w:val="2"/>
          <w:sz w:val="32"/>
          <w:szCs w:val="32"/>
        </w:rPr>
        <w:t>万元等</w:t>
      </w:r>
      <w:r w:rsidR="009F5979" w:rsidRPr="00CE4220">
        <w:rPr>
          <w:rFonts w:ascii="Times New Roman" w:eastAsia="方正仿宋_GBK" w:hAnsi="Times New Roman" w:cs="Times New Roman" w:hint="eastAsia"/>
          <w:kern w:val="2"/>
          <w:sz w:val="32"/>
          <w:szCs w:val="32"/>
        </w:rPr>
        <w:t>。</w:t>
      </w:r>
    </w:p>
    <w:p w:rsidR="006B34BD" w:rsidRDefault="004F6E30" w:rsidP="009F5979">
      <w:pPr>
        <w:pStyle w:val="a6"/>
        <w:shd w:val="clear" w:color="auto" w:fill="FFFFFF"/>
        <w:spacing w:before="0" w:beforeAutospacing="0" w:after="0" w:afterAutospacing="0" w:line="594" w:lineRule="exact"/>
        <w:rPr>
          <w:rFonts w:ascii="Times New Roman" w:hAnsi="Times New Roman" w:cs="Times New Roman"/>
          <w:sz w:val="32"/>
          <w:szCs w:val="32"/>
        </w:rPr>
      </w:pPr>
      <w:r>
        <w:rPr>
          <w:rFonts w:ascii="Times New Roman" w:eastAsia="方正仿宋_GBK" w:hAnsi="Times New Roman" w:cs="Times New Roman"/>
          <w:kern w:val="2"/>
          <w:sz w:val="32"/>
          <w:szCs w:val="32"/>
        </w:rPr>
        <w:t>其中：财政拨款收入</w:t>
      </w:r>
      <w:r w:rsidR="009F5979">
        <w:rPr>
          <w:rFonts w:ascii="Times New Roman" w:eastAsia="方正仿宋_GBK" w:hAnsi="Times New Roman" w:cs="Times New Roman" w:hint="eastAsia"/>
          <w:kern w:val="2"/>
          <w:sz w:val="32"/>
          <w:szCs w:val="32"/>
        </w:rPr>
        <w:t>35362.10</w:t>
      </w:r>
      <w:r w:rsidR="009F5979">
        <w:rPr>
          <w:rFonts w:ascii="Times New Roman" w:eastAsia="方正仿宋_GBK" w:hAnsi="Times New Roman" w:cs="Times New Roman"/>
          <w:kern w:val="2"/>
          <w:sz w:val="32"/>
          <w:szCs w:val="32"/>
        </w:rPr>
        <w:t>万元</w:t>
      </w:r>
      <w:r>
        <w:rPr>
          <w:rFonts w:ascii="Times New Roman" w:eastAsia="方正仿宋_GBK" w:hAnsi="Times New Roman" w:cs="Times New Roman"/>
          <w:kern w:val="2"/>
          <w:sz w:val="32"/>
          <w:szCs w:val="32"/>
        </w:rPr>
        <w:t>，占</w:t>
      </w:r>
      <w:r>
        <w:rPr>
          <w:rFonts w:ascii="Times New Roman" w:eastAsia="方正仿宋_GBK" w:hAnsi="Times New Roman" w:cs="Times New Roman"/>
          <w:kern w:val="2"/>
          <w:sz w:val="32"/>
          <w:szCs w:val="32"/>
        </w:rPr>
        <w:t>100.00%</w:t>
      </w:r>
      <w:r>
        <w:rPr>
          <w:rFonts w:ascii="Times New Roman" w:eastAsia="方正仿宋_GBK" w:hAnsi="Times New Roman" w:cs="Times New Roman"/>
          <w:kern w:val="2"/>
          <w:sz w:val="32"/>
          <w:szCs w:val="32"/>
        </w:rPr>
        <w:t>。此外，</w:t>
      </w:r>
      <w:r w:rsidR="009F5979">
        <w:rPr>
          <w:rFonts w:ascii="Times New Roman" w:eastAsia="方正仿宋_GBK" w:hAnsi="Times New Roman" w:cs="Times New Roman" w:hint="eastAsia"/>
          <w:kern w:val="2"/>
          <w:sz w:val="32"/>
          <w:szCs w:val="32"/>
        </w:rPr>
        <w:t>政府性基金预算财政拨款收入</w:t>
      </w:r>
      <w:r w:rsidR="009F5979">
        <w:rPr>
          <w:rFonts w:ascii="Times New Roman" w:eastAsia="方正仿宋_GBK" w:hAnsi="Times New Roman" w:cs="Times New Roman" w:hint="eastAsia"/>
          <w:kern w:val="2"/>
          <w:sz w:val="32"/>
          <w:szCs w:val="32"/>
        </w:rPr>
        <w:t>8470.68</w:t>
      </w:r>
      <w:r>
        <w:rPr>
          <w:rFonts w:ascii="Times New Roman" w:eastAsia="方正仿宋_GBK" w:hAnsi="Times New Roman" w:cs="Times New Roman"/>
          <w:kern w:val="2"/>
          <w:sz w:val="32"/>
          <w:szCs w:val="32"/>
        </w:rPr>
        <w:t>万元，年初结转和结余</w:t>
      </w:r>
      <w:r>
        <w:rPr>
          <w:rFonts w:ascii="Times New Roman" w:eastAsia="方正仿宋_GBK" w:hAnsi="Times New Roman" w:cs="Times New Roman"/>
          <w:kern w:val="2"/>
          <w:sz w:val="32"/>
          <w:szCs w:val="32"/>
        </w:rPr>
        <w:t>0.00</w:t>
      </w:r>
      <w:r>
        <w:rPr>
          <w:rFonts w:ascii="Times New Roman" w:eastAsia="方正仿宋_GBK" w:hAnsi="Times New Roman" w:cs="Times New Roman"/>
          <w:kern w:val="2"/>
          <w:sz w:val="32"/>
          <w:szCs w:val="32"/>
        </w:rPr>
        <w:t>万元。</w:t>
      </w:r>
    </w:p>
    <w:p w:rsidR="009F5979" w:rsidRDefault="004F6E30" w:rsidP="009F5979">
      <w:pPr>
        <w:pStyle w:val="a6"/>
        <w:shd w:val="clear" w:color="auto" w:fill="FFFFFF"/>
        <w:spacing w:before="0" w:beforeAutospacing="0" w:after="0" w:afterAutospacing="0" w:line="594" w:lineRule="exact"/>
        <w:ind w:firstLineChars="200" w:firstLine="643"/>
        <w:rPr>
          <w:rFonts w:ascii="Times New Roman" w:eastAsia="方正仿宋_GBK" w:hAnsi="Times New Roman" w:cs="Times New Roman"/>
          <w:kern w:val="2"/>
          <w:sz w:val="32"/>
          <w:szCs w:val="32"/>
        </w:rPr>
      </w:pPr>
      <w:r>
        <w:rPr>
          <w:rStyle w:val="a7"/>
          <w:rFonts w:ascii="Times New Roman" w:eastAsia="方正仿宋_GBK" w:hAnsi="Times New Roman" w:cs="Times New Roman"/>
          <w:sz w:val="32"/>
          <w:szCs w:val="32"/>
        </w:rPr>
        <w:t>3.</w:t>
      </w:r>
      <w:r>
        <w:rPr>
          <w:rStyle w:val="a7"/>
          <w:rFonts w:ascii="Times New Roman" w:eastAsia="方正仿宋_GBK" w:hAnsi="Times New Roman" w:cs="Times New Roman"/>
          <w:sz w:val="32"/>
          <w:szCs w:val="32"/>
        </w:rPr>
        <w:t>支出情况。</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年度支出合计</w:t>
      </w:r>
      <w:r w:rsidR="009F5979">
        <w:rPr>
          <w:rFonts w:ascii="Times New Roman" w:eastAsia="方正仿宋_GBK" w:hAnsi="Times New Roman" w:cs="Times New Roman" w:hint="eastAsia"/>
          <w:kern w:val="2"/>
          <w:sz w:val="32"/>
          <w:szCs w:val="32"/>
        </w:rPr>
        <w:t>35362.10</w:t>
      </w:r>
      <w:r>
        <w:rPr>
          <w:rFonts w:ascii="Times New Roman" w:eastAsia="方正仿宋_GBK" w:hAnsi="Times New Roman" w:cs="Times New Roman"/>
          <w:sz w:val="32"/>
          <w:szCs w:val="32"/>
        </w:rPr>
        <w:t>万元，</w:t>
      </w:r>
      <w:r w:rsidR="009F5979">
        <w:rPr>
          <w:rFonts w:ascii="Times New Roman" w:eastAsia="方正仿宋_GBK" w:hAnsi="Times New Roman" w:cs="Times New Roman" w:hint="eastAsia"/>
          <w:kern w:val="2"/>
          <w:sz w:val="32"/>
          <w:szCs w:val="32"/>
        </w:rPr>
        <w:t>较上年决算数增加</w:t>
      </w:r>
      <w:r w:rsidR="009F5979">
        <w:rPr>
          <w:rFonts w:ascii="Times New Roman" w:eastAsia="方正仿宋_GBK" w:hAnsi="Times New Roman" w:cs="Times New Roman" w:hint="eastAsia"/>
          <w:kern w:val="2"/>
          <w:sz w:val="32"/>
          <w:szCs w:val="32"/>
        </w:rPr>
        <w:tab/>
        <w:t>11271.65</w:t>
      </w:r>
      <w:r w:rsidR="009F5979">
        <w:rPr>
          <w:rFonts w:ascii="Times New Roman" w:eastAsia="方正仿宋_GBK" w:hAnsi="Times New Roman" w:cs="Times New Roman" w:hint="eastAsia"/>
          <w:kern w:val="2"/>
          <w:sz w:val="32"/>
          <w:szCs w:val="32"/>
        </w:rPr>
        <w:t>万元，增加</w:t>
      </w:r>
      <w:r w:rsidR="009F5979">
        <w:rPr>
          <w:rFonts w:ascii="Times New Roman" w:eastAsia="方正仿宋_GBK" w:hAnsi="Times New Roman" w:cs="Times New Roman" w:hint="eastAsia"/>
          <w:kern w:val="2"/>
          <w:sz w:val="32"/>
          <w:szCs w:val="32"/>
        </w:rPr>
        <w:t>46.79%</w:t>
      </w:r>
      <w:r w:rsidR="009F5979">
        <w:rPr>
          <w:rFonts w:ascii="Times New Roman" w:eastAsia="方正仿宋_GBK" w:hAnsi="Times New Roman" w:cs="Times New Roman" w:hint="eastAsia"/>
          <w:kern w:val="2"/>
          <w:sz w:val="32"/>
          <w:szCs w:val="32"/>
        </w:rPr>
        <w:t>，</w:t>
      </w:r>
      <w:r w:rsidR="009F5979">
        <w:rPr>
          <w:rFonts w:ascii="Times New Roman" w:eastAsia="方正仿宋_GBK" w:hAnsi="Times New Roman" w:cs="Times New Roman"/>
          <w:kern w:val="2"/>
          <w:sz w:val="32"/>
          <w:szCs w:val="32"/>
        </w:rPr>
        <w:t>主要原因是</w:t>
      </w:r>
      <w:r w:rsidR="009F5979">
        <w:rPr>
          <w:rFonts w:ascii="Times New Roman" w:eastAsia="方正仿宋_GBK" w:hAnsi="Times New Roman" w:cs="Times New Roman" w:hint="eastAsia"/>
          <w:kern w:val="2"/>
          <w:sz w:val="32"/>
          <w:szCs w:val="32"/>
        </w:rPr>
        <w:t>追加</w:t>
      </w:r>
      <w:r w:rsidR="009F5979" w:rsidRPr="00CE4220">
        <w:rPr>
          <w:rFonts w:ascii="Times New Roman" w:eastAsia="方正仿宋_GBK" w:hAnsi="Times New Roman" w:cs="Times New Roman" w:hint="eastAsia"/>
          <w:kern w:val="2"/>
          <w:sz w:val="32"/>
          <w:szCs w:val="32"/>
        </w:rPr>
        <w:t>201</w:t>
      </w:r>
      <w:r w:rsidR="009F5979">
        <w:rPr>
          <w:rFonts w:ascii="Times New Roman" w:eastAsia="方正仿宋_GBK" w:hAnsi="Times New Roman" w:cs="Times New Roman" w:hint="eastAsia"/>
          <w:kern w:val="2"/>
          <w:sz w:val="32"/>
          <w:szCs w:val="32"/>
        </w:rPr>
        <w:t>9</w:t>
      </w:r>
      <w:r w:rsidR="009F5979" w:rsidRPr="00CE4220">
        <w:rPr>
          <w:rFonts w:ascii="Times New Roman" w:eastAsia="方正仿宋_GBK" w:hAnsi="Times New Roman" w:cs="Times New Roman" w:hint="eastAsia"/>
          <w:kern w:val="2"/>
          <w:sz w:val="32"/>
          <w:szCs w:val="32"/>
        </w:rPr>
        <w:t>年度新招录辅警</w:t>
      </w:r>
      <w:r w:rsidR="009F5979" w:rsidRPr="00CE4220">
        <w:rPr>
          <w:rFonts w:ascii="Times New Roman" w:eastAsia="方正仿宋_GBK" w:hAnsi="Times New Roman" w:cs="Times New Roman" w:hint="eastAsia"/>
          <w:kern w:val="2"/>
          <w:sz w:val="32"/>
          <w:szCs w:val="32"/>
        </w:rPr>
        <w:t>100</w:t>
      </w:r>
      <w:r w:rsidR="009F5979" w:rsidRPr="00CE4220">
        <w:rPr>
          <w:rFonts w:ascii="Times New Roman" w:eastAsia="方正仿宋_GBK" w:hAnsi="Times New Roman" w:cs="Times New Roman" w:hint="eastAsia"/>
          <w:kern w:val="2"/>
          <w:sz w:val="32"/>
          <w:szCs w:val="32"/>
        </w:rPr>
        <w:t>人</w:t>
      </w:r>
      <w:r w:rsidR="009F5979">
        <w:rPr>
          <w:rFonts w:ascii="Times New Roman" w:eastAsia="方正仿宋_GBK" w:hAnsi="Times New Roman" w:cs="Times New Roman" w:hint="eastAsia"/>
          <w:kern w:val="2"/>
          <w:sz w:val="32"/>
          <w:szCs w:val="32"/>
        </w:rPr>
        <w:t>经费</w:t>
      </w:r>
      <w:r w:rsidR="009F5979" w:rsidRPr="00CE4220">
        <w:rPr>
          <w:rFonts w:ascii="Times New Roman" w:eastAsia="方正仿宋_GBK" w:hAnsi="Times New Roman" w:cs="Times New Roman" w:hint="eastAsia"/>
          <w:kern w:val="2"/>
          <w:sz w:val="32"/>
          <w:szCs w:val="32"/>
        </w:rPr>
        <w:t>，安排</w:t>
      </w:r>
      <w:r w:rsidR="009F5979">
        <w:rPr>
          <w:rFonts w:ascii="Times New Roman" w:eastAsia="方正仿宋_GBK" w:hAnsi="Times New Roman" w:cs="Times New Roman" w:hint="eastAsia"/>
          <w:kern w:val="2"/>
          <w:sz w:val="32"/>
          <w:szCs w:val="32"/>
        </w:rPr>
        <w:t>“三所一队”迁建工程土地款</w:t>
      </w:r>
      <w:r w:rsidR="004A0A59">
        <w:rPr>
          <w:rFonts w:ascii="Times New Roman" w:eastAsia="方正仿宋_GBK" w:hAnsi="Times New Roman" w:cs="Times New Roman" w:hint="eastAsia"/>
          <w:kern w:val="2"/>
          <w:sz w:val="32"/>
          <w:szCs w:val="32"/>
        </w:rPr>
        <w:t>8470.68</w:t>
      </w:r>
      <w:r w:rsidR="009F5979">
        <w:rPr>
          <w:rFonts w:ascii="Times New Roman" w:eastAsia="方正仿宋_GBK" w:hAnsi="Times New Roman" w:cs="Times New Roman" w:hint="eastAsia"/>
          <w:kern w:val="2"/>
          <w:sz w:val="32"/>
          <w:szCs w:val="32"/>
        </w:rPr>
        <w:t>万元等</w:t>
      </w:r>
      <w:r w:rsidR="009F5979" w:rsidRPr="00CE4220">
        <w:rPr>
          <w:rFonts w:ascii="Times New Roman" w:eastAsia="方正仿宋_GBK" w:hAnsi="Times New Roman" w:cs="Times New Roman" w:hint="eastAsia"/>
          <w:kern w:val="2"/>
          <w:sz w:val="32"/>
          <w:szCs w:val="32"/>
        </w:rPr>
        <w:t>。</w:t>
      </w:r>
    </w:p>
    <w:p w:rsidR="006B34BD" w:rsidRDefault="004F6E30" w:rsidP="009F5979">
      <w:pPr>
        <w:pStyle w:val="a6"/>
        <w:shd w:val="clear" w:color="auto" w:fill="FFFFFF"/>
        <w:spacing w:before="0" w:beforeAutospacing="0" w:after="0" w:afterAutospacing="0"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其中：基本支出</w:t>
      </w:r>
      <w:r w:rsidR="009F5979">
        <w:rPr>
          <w:rFonts w:ascii="Times New Roman" w:eastAsia="方正仿宋_GBK" w:hAnsi="Times New Roman" w:cs="Times New Roman" w:hint="eastAsia"/>
          <w:sz w:val="32"/>
          <w:szCs w:val="32"/>
        </w:rPr>
        <w:t>18167.54</w:t>
      </w:r>
      <w:r>
        <w:rPr>
          <w:rFonts w:ascii="Times New Roman" w:eastAsia="方正仿宋_GBK" w:hAnsi="Times New Roman" w:cs="Times New Roman"/>
          <w:sz w:val="32"/>
          <w:szCs w:val="32"/>
        </w:rPr>
        <w:t>万元，占</w:t>
      </w:r>
      <w:r w:rsidR="002208B2">
        <w:rPr>
          <w:rFonts w:ascii="Times New Roman" w:eastAsia="方正仿宋_GBK" w:hAnsi="Times New Roman" w:cs="Times New Roman" w:hint="eastAsia"/>
          <w:sz w:val="32"/>
          <w:szCs w:val="32"/>
        </w:rPr>
        <w:t>51.38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；项目支出</w:t>
      </w:r>
      <w:r w:rsidR="009F5979">
        <w:rPr>
          <w:rFonts w:ascii="Times New Roman" w:eastAsia="方正仿宋_GBK" w:hAnsi="Times New Roman" w:cs="Times New Roman" w:hint="eastAsia"/>
          <w:sz w:val="32"/>
          <w:szCs w:val="32"/>
        </w:rPr>
        <w:t>17194.56</w:t>
      </w:r>
      <w:r>
        <w:rPr>
          <w:rFonts w:ascii="Times New Roman" w:eastAsia="方正仿宋_GBK" w:hAnsi="Times New Roman" w:cs="Times New Roman"/>
          <w:sz w:val="32"/>
          <w:szCs w:val="32"/>
        </w:rPr>
        <w:t>万元，占</w:t>
      </w:r>
      <w:r w:rsidR="002208B2">
        <w:rPr>
          <w:rFonts w:ascii="Times New Roman" w:eastAsia="方正仿宋_GBK" w:hAnsi="Times New Roman" w:cs="Times New Roman" w:hint="eastAsia"/>
          <w:sz w:val="32"/>
          <w:szCs w:val="32"/>
        </w:rPr>
        <w:t>48.62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。此外，结余分配</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w:t>
      </w:r>
    </w:p>
    <w:p w:rsidR="006B34BD" w:rsidRDefault="004F6E30" w:rsidP="004F6E30">
      <w:pPr>
        <w:pStyle w:val="a6"/>
        <w:shd w:val="clear" w:color="auto" w:fill="FFFFFF"/>
        <w:spacing w:before="0" w:beforeAutospacing="0" w:after="0" w:afterAutospacing="0" w:line="594" w:lineRule="exact"/>
        <w:ind w:firstLineChars="200" w:firstLine="643"/>
        <w:rPr>
          <w:rFonts w:ascii="Times New Roman" w:hAnsi="Times New Roman" w:cs="Times New Roman"/>
          <w:sz w:val="32"/>
          <w:szCs w:val="32"/>
        </w:rPr>
      </w:pPr>
      <w:r>
        <w:rPr>
          <w:rStyle w:val="a7"/>
          <w:rFonts w:ascii="Times New Roman" w:eastAsia="方正仿宋_GBK" w:hAnsi="Times New Roman" w:cs="Times New Roman"/>
          <w:sz w:val="32"/>
          <w:szCs w:val="32"/>
        </w:rPr>
        <w:t>4.</w:t>
      </w:r>
      <w:r>
        <w:rPr>
          <w:rStyle w:val="a7"/>
          <w:rFonts w:ascii="Times New Roman" w:eastAsia="方正仿宋_GBK" w:hAnsi="Times New Roman" w:cs="Times New Roman"/>
          <w:sz w:val="32"/>
          <w:szCs w:val="32"/>
        </w:rPr>
        <w:t>结转结余情况。</w:t>
      </w:r>
      <w:r>
        <w:rPr>
          <w:rFonts w:ascii="Times New Roman" w:hAnsi="Times New Roman" w:cs="Times New Roman"/>
          <w:bCs/>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sz w:val="32"/>
          <w:szCs w:val="32"/>
        </w:rPr>
        <w:t>年度年末结转和结余</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万元，较上年决算数增加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w:t>
      </w:r>
    </w:p>
    <w:p w:rsidR="006B34BD" w:rsidRDefault="004F6E30">
      <w:pPr>
        <w:pStyle w:val="a6"/>
        <w:shd w:val="clear" w:color="auto" w:fill="FFFFFF"/>
        <w:spacing w:before="0" w:beforeAutospacing="0" w:after="0" w:afterAutospacing="0" w:line="594" w:lineRule="exact"/>
        <w:ind w:firstLineChars="200" w:firstLine="640"/>
        <w:rPr>
          <w:rStyle w:val="a7"/>
          <w:rFonts w:ascii="Times New Roman" w:eastAsia="方正楷体_GBK" w:hAnsi="Times New Roman" w:cs="Times New Roman"/>
        </w:rPr>
      </w:pPr>
      <w:r>
        <w:rPr>
          <w:rStyle w:val="a7"/>
          <w:rFonts w:ascii="Times New Roman" w:eastAsia="方正楷体_GBK" w:hAnsi="Times New Roman" w:cs="Times New Roman"/>
          <w:sz w:val="32"/>
          <w:szCs w:val="32"/>
        </w:rPr>
        <w:lastRenderedPageBreak/>
        <w:t>（二）财政拨款收入支出决算总体情况说明</w:t>
      </w:r>
    </w:p>
    <w:p w:rsidR="003C18BD" w:rsidRDefault="003C18BD">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2019</w:t>
      </w:r>
      <w:r>
        <w:rPr>
          <w:rFonts w:ascii="Times New Roman" w:eastAsia="方正仿宋_GBK" w:hAnsi="Times New Roman" w:cs="Times New Roman"/>
          <w:kern w:val="2"/>
          <w:sz w:val="32"/>
          <w:szCs w:val="32"/>
        </w:rPr>
        <w:t>年度收入总计</w:t>
      </w:r>
      <w:r>
        <w:rPr>
          <w:rFonts w:ascii="Times New Roman" w:eastAsia="方正仿宋_GBK" w:hAnsi="Times New Roman" w:cs="Times New Roman" w:hint="eastAsia"/>
          <w:kern w:val="2"/>
          <w:sz w:val="32"/>
          <w:szCs w:val="32"/>
        </w:rPr>
        <w:t>35362.10</w:t>
      </w:r>
      <w:r>
        <w:rPr>
          <w:rFonts w:ascii="Times New Roman" w:eastAsia="方正仿宋_GBK" w:hAnsi="Times New Roman" w:cs="Times New Roman"/>
          <w:kern w:val="2"/>
          <w:sz w:val="32"/>
          <w:szCs w:val="32"/>
        </w:rPr>
        <w:t>万元，支出总计</w:t>
      </w:r>
      <w:r>
        <w:rPr>
          <w:rFonts w:ascii="Times New Roman" w:eastAsia="方正仿宋_GBK" w:hAnsi="Times New Roman" w:cs="Times New Roman" w:hint="eastAsia"/>
          <w:kern w:val="2"/>
          <w:sz w:val="32"/>
          <w:szCs w:val="32"/>
        </w:rPr>
        <w:t>35362.10</w:t>
      </w:r>
      <w:r>
        <w:rPr>
          <w:rFonts w:ascii="Times New Roman" w:eastAsia="方正仿宋_GBK" w:hAnsi="Times New Roman" w:cs="Times New Roman"/>
          <w:kern w:val="2"/>
          <w:sz w:val="32"/>
          <w:szCs w:val="32"/>
        </w:rPr>
        <w:t>万元。收</w:t>
      </w:r>
      <w:r>
        <w:rPr>
          <w:rFonts w:ascii="Times New Roman" w:eastAsia="方正仿宋_GBK" w:hAnsi="Times New Roman" w:cs="Times New Roman" w:hint="eastAsia"/>
          <w:kern w:val="2"/>
          <w:sz w:val="32"/>
          <w:szCs w:val="32"/>
        </w:rPr>
        <w:t>入</w:t>
      </w:r>
      <w:r>
        <w:rPr>
          <w:rFonts w:ascii="Times New Roman" w:eastAsia="方正仿宋_GBK" w:hAnsi="Times New Roman" w:cs="Times New Roman"/>
          <w:kern w:val="2"/>
          <w:sz w:val="32"/>
          <w:szCs w:val="32"/>
        </w:rPr>
        <w:t>较上年决算数</w:t>
      </w:r>
      <w:r>
        <w:rPr>
          <w:rFonts w:ascii="Times New Roman" w:eastAsia="方正仿宋_GBK" w:hAnsi="Times New Roman" w:cs="Times New Roman" w:hint="eastAsia"/>
          <w:kern w:val="2"/>
          <w:sz w:val="32"/>
          <w:szCs w:val="32"/>
        </w:rPr>
        <w:t>增加</w:t>
      </w:r>
      <w:r>
        <w:rPr>
          <w:rFonts w:ascii="Times New Roman" w:eastAsia="方正仿宋_GBK" w:hAnsi="Times New Roman" w:cs="Times New Roman" w:hint="eastAsia"/>
          <w:kern w:val="2"/>
          <w:sz w:val="32"/>
          <w:szCs w:val="32"/>
        </w:rPr>
        <w:t>11460.26</w:t>
      </w:r>
      <w:r>
        <w:rPr>
          <w:rFonts w:ascii="Times New Roman" w:eastAsia="方正仿宋_GBK" w:hAnsi="Times New Roman" w:cs="Times New Roman"/>
          <w:kern w:val="2"/>
          <w:sz w:val="32"/>
          <w:szCs w:val="32"/>
        </w:rPr>
        <w:t>万元、</w:t>
      </w:r>
      <w:r>
        <w:rPr>
          <w:rFonts w:ascii="Times New Roman" w:eastAsia="方正仿宋_GBK" w:hAnsi="Times New Roman" w:cs="Times New Roman" w:hint="eastAsia"/>
          <w:kern w:val="2"/>
          <w:sz w:val="32"/>
          <w:szCs w:val="32"/>
        </w:rPr>
        <w:t>增加</w:t>
      </w:r>
      <w:r>
        <w:rPr>
          <w:rFonts w:ascii="Times New Roman" w:eastAsia="方正仿宋_GBK" w:hAnsi="Times New Roman" w:cs="Times New Roman" w:hint="eastAsia"/>
          <w:kern w:val="2"/>
          <w:sz w:val="32"/>
          <w:szCs w:val="32"/>
        </w:rPr>
        <w:t>47.94</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Pr>
          <w:rFonts w:ascii="Times New Roman" w:eastAsia="方正仿宋_GBK" w:hAnsi="Times New Roman" w:cs="Times New Roman" w:hint="eastAsia"/>
          <w:kern w:val="2"/>
          <w:sz w:val="32"/>
          <w:szCs w:val="32"/>
        </w:rPr>
        <w:t>支出较上年决算数增加</w:t>
      </w:r>
      <w:r>
        <w:rPr>
          <w:rFonts w:ascii="Times New Roman" w:eastAsia="方正仿宋_GBK" w:hAnsi="Times New Roman" w:cs="Times New Roman" w:hint="eastAsia"/>
          <w:kern w:val="2"/>
          <w:sz w:val="32"/>
          <w:szCs w:val="32"/>
        </w:rPr>
        <w:tab/>
        <w:t>11271.65</w:t>
      </w:r>
      <w:r>
        <w:rPr>
          <w:rFonts w:ascii="Times New Roman" w:eastAsia="方正仿宋_GBK" w:hAnsi="Times New Roman" w:cs="Times New Roman" w:hint="eastAsia"/>
          <w:kern w:val="2"/>
          <w:sz w:val="32"/>
          <w:szCs w:val="32"/>
        </w:rPr>
        <w:t>万元，增加</w:t>
      </w:r>
      <w:r>
        <w:rPr>
          <w:rFonts w:ascii="Times New Roman" w:eastAsia="方正仿宋_GBK" w:hAnsi="Times New Roman" w:cs="Times New Roman" w:hint="eastAsia"/>
          <w:kern w:val="2"/>
          <w:sz w:val="32"/>
          <w:szCs w:val="32"/>
        </w:rPr>
        <w:t>46.79%</w:t>
      </w:r>
      <w:r>
        <w:rPr>
          <w:rFonts w:ascii="Times New Roman" w:eastAsia="方正仿宋_GBK" w:hAnsi="Times New Roman" w:cs="Times New Roman" w:hint="eastAsia"/>
          <w:kern w:val="2"/>
          <w:sz w:val="32"/>
          <w:szCs w:val="32"/>
        </w:rPr>
        <w:t>，</w:t>
      </w:r>
      <w:r>
        <w:rPr>
          <w:rFonts w:ascii="Times New Roman" w:eastAsia="方正仿宋_GBK" w:hAnsi="Times New Roman" w:cs="Times New Roman"/>
          <w:kern w:val="2"/>
          <w:sz w:val="32"/>
          <w:szCs w:val="32"/>
        </w:rPr>
        <w:t>主要原因是</w:t>
      </w:r>
      <w:r>
        <w:rPr>
          <w:rFonts w:ascii="Times New Roman" w:eastAsia="方正仿宋_GBK" w:hAnsi="Times New Roman" w:cs="Times New Roman" w:hint="eastAsia"/>
          <w:kern w:val="2"/>
          <w:sz w:val="32"/>
          <w:szCs w:val="32"/>
        </w:rPr>
        <w:t>追加</w:t>
      </w:r>
      <w:r w:rsidRPr="00CE4220">
        <w:rPr>
          <w:rFonts w:ascii="Times New Roman" w:eastAsia="方正仿宋_GBK" w:hAnsi="Times New Roman" w:cs="Times New Roman" w:hint="eastAsia"/>
          <w:kern w:val="2"/>
          <w:sz w:val="32"/>
          <w:szCs w:val="32"/>
        </w:rPr>
        <w:t>201</w:t>
      </w:r>
      <w:r>
        <w:rPr>
          <w:rFonts w:ascii="Times New Roman" w:eastAsia="方正仿宋_GBK" w:hAnsi="Times New Roman" w:cs="Times New Roman" w:hint="eastAsia"/>
          <w:kern w:val="2"/>
          <w:sz w:val="32"/>
          <w:szCs w:val="32"/>
        </w:rPr>
        <w:t>9</w:t>
      </w:r>
      <w:r w:rsidRPr="00CE4220">
        <w:rPr>
          <w:rFonts w:ascii="Times New Roman" w:eastAsia="方正仿宋_GBK" w:hAnsi="Times New Roman" w:cs="Times New Roman" w:hint="eastAsia"/>
          <w:kern w:val="2"/>
          <w:sz w:val="32"/>
          <w:szCs w:val="32"/>
        </w:rPr>
        <w:t>年度新招录辅警</w:t>
      </w:r>
      <w:r w:rsidRPr="00CE4220">
        <w:rPr>
          <w:rFonts w:ascii="Times New Roman" w:eastAsia="方正仿宋_GBK" w:hAnsi="Times New Roman" w:cs="Times New Roman" w:hint="eastAsia"/>
          <w:kern w:val="2"/>
          <w:sz w:val="32"/>
          <w:szCs w:val="32"/>
        </w:rPr>
        <w:t>100</w:t>
      </w:r>
      <w:r w:rsidRPr="00CE4220">
        <w:rPr>
          <w:rFonts w:ascii="Times New Roman" w:eastAsia="方正仿宋_GBK" w:hAnsi="Times New Roman" w:cs="Times New Roman" w:hint="eastAsia"/>
          <w:kern w:val="2"/>
          <w:sz w:val="32"/>
          <w:szCs w:val="32"/>
        </w:rPr>
        <w:t>人</w:t>
      </w:r>
      <w:r>
        <w:rPr>
          <w:rFonts w:ascii="Times New Roman" w:eastAsia="方正仿宋_GBK" w:hAnsi="Times New Roman" w:cs="Times New Roman" w:hint="eastAsia"/>
          <w:kern w:val="2"/>
          <w:sz w:val="32"/>
          <w:szCs w:val="32"/>
        </w:rPr>
        <w:t>经费</w:t>
      </w:r>
      <w:r w:rsidRPr="00CE4220">
        <w:rPr>
          <w:rFonts w:ascii="Times New Roman" w:eastAsia="方正仿宋_GBK" w:hAnsi="Times New Roman" w:cs="Times New Roman" w:hint="eastAsia"/>
          <w:kern w:val="2"/>
          <w:sz w:val="32"/>
          <w:szCs w:val="32"/>
        </w:rPr>
        <w:t>，安排</w:t>
      </w:r>
      <w:r>
        <w:rPr>
          <w:rFonts w:ascii="Times New Roman" w:eastAsia="方正仿宋_GBK" w:hAnsi="Times New Roman" w:cs="Times New Roman" w:hint="eastAsia"/>
          <w:kern w:val="2"/>
          <w:sz w:val="32"/>
          <w:szCs w:val="32"/>
        </w:rPr>
        <w:t>“三所一队”迁建工程土地款</w:t>
      </w:r>
      <w:r w:rsidR="004A0A59">
        <w:rPr>
          <w:rFonts w:ascii="Times New Roman" w:eastAsia="方正仿宋_GBK" w:hAnsi="Times New Roman" w:cs="Times New Roman" w:hint="eastAsia"/>
          <w:kern w:val="2"/>
          <w:sz w:val="32"/>
          <w:szCs w:val="32"/>
        </w:rPr>
        <w:t>8470.68</w:t>
      </w:r>
      <w:r>
        <w:rPr>
          <w:rFonts w:ascii="Times New Roman" w:eastAsia="方正仿宋_GBK" w:hAnsi="Times New Roman" w:cs="Times New Roman" w:hint="eastAsia"/>
          <w:kern w:val="2"/>
          <w:sz w:val="32"/>
          <w:szCs w:val="32"/>
        </w:rPr>
        <w:t>万元等</w:t>
      </w:r>
      <w:r w:rsidRPr="00CE4220">
        <w:rPr>
          <w:rFonts w:ascii="Times New Roman" w:eastAsia="方正仿宋_GBK" w:hAnsi="Times New Roman" w:cs="Times New Roman" w:hint="eastAsia"/>
          <w:kern w:val="2"/>
          <w:sz w:val="32"/>
          <w:szCs w:val="32"/>
        </w:rPr>
        <w:t>。</w:t>
      </w:r>
    </w:p>
    <w:p w:rsidR="006B34BD" w:rsidRDefault="004F6E30">
      <w:pPr>
        <w:pStyle w:val="a6"/>
        <w:shd w:val="clear" w:color="auto" w:fill="FFFFFF"/>
        <w:spacing w:before="0" w:beforeAutospacing="0" w:after="0" w:afterAutospacing="0" w:line="594" w:lineRule="exact"/>
        <w:ind w:firstLineChars="200" w:firstLine="640"/>
        <w:rPr>
          <w:rStyle w:val="a7"/>
          <w:rFonts w:ascii="Times New Roman" w:eastAsia="方正楷体_GBK" w:hAnsi="Times New Roman" w:cs="Times New Roman"/>
        </w:rPr>
      </w:pPr>
      <w:r>
        <w:rPr>
          <w:rStyle w:val="a7"/>
          <w:rFonts w:ascii="Times New Roman" w:eastAsia="方正楷体_GBK" w:hAnsi="Times New Roman" w:cs="Times New Roman"/>
          <w:sz w:val="32"/>
          <w:szCs w:val="32"/>
        </w:rPr>
        <w:t>（三）一般公共预算财政拨款支出决算情况说明</w:t>
      </w:r>
    </w:p>
    <w:p w:rsidR="006B34BD" w:rsidRDefault="004F6E30" w:rsidP="004F6E30">
      <w:pPr>
        <w:pStyle w:val="a6"/>
        <w:shd w:val="clear" w:color="auto" w:fill="FFFFFF"/>
        <w:spacing w:before="0" w:beforeAutospacing="0" w:after="0" w:afterAutospacing="0" w:line="594" w:lineRule="exact"/>
        <w:ind w:firstLineChars="200" w:firstLine="643"/>
        <w:rPr>
          <w:rFonts w:ascii="Times New Roman" w:eastAsia="方正仿宋_GBK" w:hAnsi="Times New Roman" w:cs="Times New Roman"/>
          <w:sz w:val="32"/>
          <w:szCs w:val="32"/>
        </w:rPr>
      </w:pPr>
      <w:r>
        <w:rPr>
          <w:rStyle w:val="a7"/>
          <w:rFonts w:ascii="Times New Roman" w:eastAsia="方正仿宋_GBK" w:hAnsi="Times New Roman" w:cs="Times New Roman"/>
          <w:sz w:val="32"/>
          <w:szCs w:val="32"/>
        </w:rPr>
        <w:t>1.</w:t>
      </w:r>
      <w:r>
        <w:rPr>
          <w:rStyle w:val="a7"/>
          <w:rFonts w:ascii="Times New Roman" w:eastAsia="方正仿宋_GBK" w:hAnsi="Times New Roman" w:cs="Times New Roman"/>
          <w:sz w:val="32"/>
          <w:szCs w:val="32"/>
        </w:rPr>
        <w:t>收入情况。</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年度一般公共预算财政拨款收入</w:t>
      </w:r>
      <w:r w:rsidR="003C18BD">
        <w:rPr>
          <w:rFonts w:ascii="Times New Roman" w:eastAsia="方正仿宋_GBK" w:hAnsi="Times New Roman" w:cs="Times New Roman" w:hint="eastAsia"/>
          <w:kern w:val="2"/>
          <w:sz w:val="32"/>
          <w:szCs w:val="32"/>
        </w:rPr>
        <w:t>35362.10</w:t>
      </w:r>
      <w:r w:rsidR="003C18BD">
        <w:rPr>
          <w:rFonts w:ascii="Times New Roman" w:eastAsia="方正仿宋_GBK" w:hAnsi="Times New Roman" w:cs="Times New Roman"/>
          <w:kern w:val="2"/>
          <w:sz w:val="32"/>
          <w:szCs w:val="32"/>
        </w:rPr>
        <w:t>万元</w:t>
      </w:r>
      <w:r>
        <w:rPr>
          <w:rFonts w:ascii="Times New Roman" w:eastAsia="方正仿宋_GBK" w:hAnsi="Times New Roman" w:cs="Times New Roman" w:hint="eastAsia"/>
          <w:sz w:val="32"/>
          <w:szCs w:val="32"/>
        </w:rPr>
        <w:t>，</w:t>
      </w:r>
      <w:r w:rsidR="003C18BD">
        <w:rPr>
          <w:rFonts w:ascii="Times New Roman" w:eastAsia="方正仿宋_GBK" w:hAnsi="Times New Roman" w:cs="Times New Roman"/>
          <w:kern w:val="2"/>
          <w:sz w:val="32"/>
          <w:szCs w:val="32"/>
        </w:rPr>
        <w:t>较上年决算数</w:t>
      </w:r>
      <w:r w:rsidR="003C18BD">
        <w:rPr>
          <w:rFonts w:ascii="Times New Roman" w:eastAsia="方正仿宋_GBK" w:hAnsi="Times New Roman" w:cs="Times New Roman" w:hint="eastAsia"/>
          <w:kern w:val="2"/>
          <w:sz w:val="32"/>
          <w:szCs w:val="32"/>
        </w:rPr>
        <w:t>增加</w:t>
      </w:r>
      <w:r w:rsidR="003C18BD">
        <w:rPr>
          <w:rFonts w:ascii="Times New Roman" w:eastAsia="方正仿宋_GBK" w:hAnsi="Times New Roman" w:cs="Times New Roman" w:hint="eastAsia"/>
          <w:kern w:val="2"/>
          <w:sz w:val="32"/>
          <w:szCs w:val="32"/>
        </w:rPr>
        <w:t>11460.26</w:t>
      </w:r>
      <w:r w:rsidR="003C18BD">
        <w:rPr>
          <w:rFonts w:ascii="Times New Roman" w:eastAsia="方正仿宋_GBK" w:hAnsi="Times New Roman" w:cs="Times New Roman"/>
          <w:kern w:val="2"/>
          <w:sz w:val="32"/>
          <w:szCs w:val="32"/>
        </w:rPr>
        <w:t>万元、</w:t>
      </w:r>
      <w:r w:rsidR="003C18BD">
        <w:rPr>
          <w:rFonts w:ascii="Times New Roman" w:eastAsia="方正仿宋_GBK" w:hAnsi="Times New Roman" w:cs="Times New Roman" w:hint="eastAsia"/>
          <w:kern w:val="2"/>
          <w:sz w:val="32"/>
          <w:szCs w:val="32"/>
        </w:rPr>
        <w:t>增加</w:t>
      </w:r>
      <w:r w:rsidR="003C18BD">
        <w:rPr>
          <w:rFonts w:ascii="Times New Roman" w:eastAsia="方正仿宋_GBK" w:hAnsi="Times New Roman" w:cs="Times New Roman" w:hint="eastAsia"/>
          <w:kern w:val="2"/>
          <w:sz w:val="32"/>
          <w:szCs w:val="32"/>
        </w:rPr>
        <w:t>47.94</w:t>
      </w:r>
      <w:r w:rsidR="003C18BD">
        <w:rPr>
          <w:rFonts w:ascii="Times New Roman" w:eastAsia="方正仿宋_GBK" w:hAnsi="Times New Roman" w:cs="Times New Roman"/>
          <w:kern w:val="2"/>
          <w:sz w:val="32"/>
          <w:szCs w:val="32"/>
        </w:rPr>
        <w:t>%</w:t>
      </w:r>
      <w:r>
        <w:rPr>
          <w:rFonts w:ascii="Times New Roman" w:eastAsia="方正仿宋_GBK" w:hAnsi="Times New Roman" w:cs="Times New Roman" w:hint="eastAsia"/>
          <w:sz w:val="32"/>
          <w:szCs w:val="32"/>
        </w:rPr>
        <w:t>。</w:t>
      </w:r>
      <w:r w:rsidR="003C18BD">
        <w:rPr>
          <w:rFonts w:ascii="Times New Roman" w:eastAsia="方正仿宋_GBK" w:hAnsi="Times New Roman" w:cs="Times New Roman"/>
          <w:kern w:val="2"/>
          <w:sz w:val="32"/>
          <w:szCs w:val="32"/>
        </w:rPr>
        <w:t>主要原因是</w:t>
      </w:r>
      <w:r w:rsidR="003C18BD">
        <w:rPr>
          <w:rFonts w:ascii="Times New Roman" w:eastAsia="方正仿宋_GBK" w:hAnsi="Times New Roman" w:cs="Times New Roman" w:hint="eastAsia"/>
          <w:kern w:val="2"/>
          <w:sz w:val="32"/>
          <w:szCs w:val="32"/>
        </w:rPr>
        <w:t>追加</w:t>
      </w:r>
      <w:r w:rsidR="003C18BD" w:rsidRPr="00CE4220">
        <w:rPr>
          <w:rFonts w:ascii="Times New Roman" w:eastAsia="方正仿宋_GBK" w:hAnsi="Times New Roman" w:cs="Times New Roman" w:hint="eastAsia"/>
          <w:kern w:val="2"/>
          <w:sz w:val="32"/>
          <w:szCs w:val="32"/>
        </w:rPr>
        <w:t>201</w:t>
      </w:r>
      <w:r w:rsidR="003C18BD">
        <w:rPr>
          <w:rFonts w:ascii="Times New Roman" w:eastAsia="方正仿宋_GBK" w:hAnsi="Times New Roman" w:cs="Times New Roman" w:hint="eastAsia"/>
          <w:kern w:val="2"/>
          <w:sz w:val="32"/>
          <w:szCs w:val="32"/>
        </w:rPr>
        <w:t>9</w:t>
      </w:r>
      <w:r w:rsidR="003C18BD" w:rsidRPr="00CE4220">
        <w:rPr>
          <w:rFonts w:ascii="Times New Roman" w:eastAsia="方正仿宋_GBK" w:hAnsi="Times New Roman" w:cs="Times New Roman" w:hint="eastAsia"/>
          <w:kern w:val="2"/>
          <w:sz w:val="32"/>
          <w:szCs w:val="32"/>
        </w:rPr>
        <w:t>年度新招录辅警</w:t>
      </w:r>
      <w:r w:rsidR="003C18BD" w:rsidRPr="00CE4220">
        <w:rPr>
          <w:rFonts w:ascii="Times New Roman" w:eastAsia="方正仿宋_GBK" w:hAnsi="Times New Roman" w:cs="Times New Roman" w:hint="eastAsia"/>
          <w:kern w:val="2"/>
          <w:sz w:val="32"/>
          <w:szCs w:val="32"/>
        </w:rPr>
        <w:t>100</w:t>
      </w:r>
      <w:r w:rsidR="003C18BD" w:rsidRPr="00CE4220">
        <w:rPr>
          <w:rFonts w:ascii="Times New Roman" w:eastAsia="方正仿宋_GBK" w:hAnsi="Times New Roman" w:cs="Times New Roman" w:hint="eastAsia"/>
          <w:kern w:val="2"/>
          <w:sz w:val="32"/>
          <w:szCs w:val="32"/>
        </w:rPr>
        <w:t>人</w:t>
      </w:r>
      <w:r w:rsidR="003C18BD">
        <w:rPr>
          <w:rFonts w:ascii="Times New Roman" w:eastAsia="方正仿宋_GBK" w:hAnsi="Times New Roman" w:cs="Times New Roman" w:hint="eastAsia"/>
          <w:kern w:val="2"/>
          <w:sz w:val="32"/>
          <w:szCs w:val="32"/>
        </w:rPr>
        <w:t>经费</w:t>
      </w:r>
      <w:r w:rsidR="003C18BD" w:rsidRPr="00CE4220">
        <w:rPr>
          <w:rFonts w:ascii="Times New Roman" w:eastAsia="方正仿宋_GBK" w:hAnsi="Times New Roman" w:cs="Times New Roman" w:hint="eastAsia"/>
          <w:kern w:val="2"/>
          <w:sz w:val="32"/>
          <w:szCs w:val="32"/>
        </w:rPr>
        <w:t>，安排</w:t>
      </w:r>
      <w:r w:rsidR="003C18BD">
        <w:rPr>
          <w:rFonts w:ascii="Times New Roman" w:eastAsia="方正仿宋_GBK" w:hAnsi="Times New Roman" w:cs="Times New Roman" w:hint="eastAsia"/>
          <w:kern w:val="2"/>
          <w:sz w:val="32"/>
          <w:szCs w:val="32"/>
        </w:rPr>
        <w:t>“三所一队”迁建工程土地款</w:t>
      </w:r>
      <w:r w:rsidR="004A0A59">
        <w:rPr>
          <w:rFonts w:ascii="Times New Roman" w:eastAsia="方正仿宋_GBK" w:hAnsi="Times New Roman" w:cs="Times New Roman" w:hint="eastAsia"/>
          <w:kern w:val="2"/>
          <w:sz w:val="32"/>
          <w:szCs w:val="32"/>
        </w:rPr>
        <w:t>8470.68</w:t>
      </w:r>
      <w:r w:rsidR="003C18BD">
        <w:rPr>
          <w:rFonts w:ascii="Times New Roman" w:eastAsia="方正仿宋_GBK" w:hAnsi="Times New Roman" w:cs="Times New Roman" w:hint="eastAsia"/>
          <w:kern w:val="2"/>
          <w:sz w:val="32"/>
          <w:szCs w:val="32"/>
        </w:rPr>
        <w:t>万元等</w:t>
      </w:r>
      <w:r w:rsidR="003C18BD" w:rsidRPr="00CE4220">
        <w:rPr>
          <w:rFonts w:ascii="Times New Roman" w:eastAsia="方正仿宋_GBK" w:hAnsi="Times New Roman" w:cs="Times New Roman" w:hint="eastAsia"/>
          <w:kern w:val="2"/>
          <w:sz w:val="32"/>
          <w:szCs w:val="32"/>
        </w:rPr>
        <w:t>。</w:t>
      </w:r>
      <w:r>
        <w:rPr>
          <w:rFonts w:ascii="Times New Roman" w:eastAsia="方正仿宋_GBK" w:hAnsi="Times New Roman" w:cs="Times New Roman"/>
          <w:sz w:val="32"/>
          <w:szCs w:val="32"/>
        </w:rPr>
        <w:t>此外，年初财政拨款结转和结余</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w:t>
      </w:r>
    </w:p>
    <w:p w:rsidR="006B34BD" w:rsidRPr="003C18BD" w:rsidRDefault="004F6E30" w:rsidP="003C18BD">
      <w:pPr>
        <w:pStyle w:val="a6"/>
        <w:shd w:val="clear" w:color="auto" w:fill="FFFFFF"/>
        <w:spacing w:before="0" w:beforeAutospacing="0" w:after="0" w:afterAutospacing="0" w:line="594" w:lineRule="exact"/>
        <w:ind w:firstLineChars="200" w:firstLine="643"/>
        <w:rPr>
          <w:rFonts w:ascii="Times New Roman" w:eastAsia="方正仿宋_GBK" w:hAnsi="Times New Roman" w:cs="Times New Roman"/>
          <w:kern w:val="2"/>
          <w:sz w:val="32"/>
          <w:szCs w:val="32"/>
        </w:rPr>
      </w:pPr>
      <w:r>
        <w:rPr>
          <w:rStyle w:val="a7"/>
          <w:rFonts w:ascii="Times New Roman" w:eastAsia="方正仿宋_GBK" w:hAnsi="Times New Roman" w:cs="Times New Roman"/>
          <w:sz w:val="32"/>
          <w:szCs w:val="32"/>
        </w:rPr>
        <w:t>2.</w:t>
      </w:r>
      <w:r>
        <w:rPr>
          <w:rStyle w:val="a7"/>
          <w:rFonts w:ascii="Times New Roman" w:eastAsia="方正仿宋_GBK" w:hAnsi="Times New Roman" w:cs="Times New Roman"/>
          <w:sz w:val="32"/>
          <w:szCs w:val="32"/>
        </w:rPr>
        <w:t>支出情况。</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年度一般公共预算财政拨款支出</w:t>
      </w:r>
      <w:r w:rsidR="003C18BD">
        <w:rPr>
          <w:rFonts w:ascii="Times New Roman" w:eastAsia="方正仿宋_GBK" w:hAnsi="Times New Roman" w:cs="Times New Roman" w:hint="eastAsia"/>
          <w:kern w:val="2"/>
          <w:sz w:val="32"/>
          <w:szCs w:val="32"/>
        </w:rPr>
        <w:t>35362.10</w:t>
      </w:r>
      <w:r w:rsidR="003C18BD">
        <w:rPr>
          <w:rFonts w:ascii="Times New Roman" w:eastAsia="方正仿宋_GBK" w:hAnsi="Times New Roman" w:cs="Times New Roman"/>
          <w:kern w:val="2"/>
          <w:sz w:val="32"/>
          <w:szCs w:val="32"/>
        </w:rPr>
        <w:t>万</w:t>
      </w:r>
      <w:r>
        <w:rPr>
          <w:rFonts w:ascii="Times New Roman" w:eastAsia="方正仿宋_GBK" w:hAnsi="Times New Roman" w:cs="Times New Roman"/>
          <w:sz w:val="32"/>
          <w:szCs w:val="32"/>
        </w:rPr>
        <w:t>元，</w:t>
      </w:r>
      <w:r w:rsidR="003C18BD">
        <w:rPr>
          <w:rFonts w:ascii="Times New Roman" w:eastAsia="方正仿宋_GBK" w:hAnsi="Times New Roman" w:cs="Times New Roman" w:hint="eastAsia"/>
          <w:kern w:val="2"/>
          <w:sz w:val="32"/>
          <w:szCs w:val="32"/>
        </w:rPr>
        <w:t>较上年决算数增加</w:t>
      </w:r>
      <w:r w:rsidR="003C18BD">
        <w:rPr>
          <w:rFonts w:ascii="Times New Roman" w:eastAsia="方正仿宋_GBK" w:hAnsi="Times New Roman" w:cs="Times New Roman" w:hint="eastAsia"/>
          <w:kern w:val="2"/>
          <w:sz w:val="32"/>
          <w:szCs w:val="32"/>
        </w:rPr>
        <w:tab/>
        <w:t>11271.65</w:t>
      </w:r>
      <w:r w:rsidR="003C18BD">
        <w:rPr>
          <w:rFonts w:ascii="Times New Roman" w:eastAsia="方正仿宋_GBK" w:hAnsi="Times New Roman" w:cs="Times New Roman" w:hint="eastAsia"/>
          <w:kern w:val="2"/>
          <w:sz w:val="32"/>
          <w:szCs w:val="32"/>
        </w:rPr>
        <w:t>万元，增加</w:t>
      </w:r>
      <w:r w:rsidR="003C18BD">
        <w:rPr>
          <w:rFonts w:ascii="Times New Roman" w:eastAsia="方正仿宋_GBK" w:hAnsi="Times New Roman" w:cs="Times New Roman" w:hint="eastAsia"/>
          <w:kern w:val="2"/>
          <w:sz w:val="32"/>
          <w:szCs w:val="32"/>
        </w:rPr>
        <w:t>46.79%</w:t>
      </w:r>
      <w:r>
        <w:rPr>
          <w:rFonts w:ascii="Times New Roman" w:eastAsia="方正仿宋_GBK" w:hAnsi="Times New Roman" w:cs="Times New Roman"/>
          <w:sz w:val="32"/>
          <w:szCs w:val="32"/>
        </w:rPr>
        <w:t>。</w:t>
      </w:r>
      <w:r w:rsidR="003C18BD">
        <w:rPr>
          <w:rFonts w:ascii="Times New Roman" w:eastAsia="方正仿宋_GBK" w:hAnsi="Times New Roman" w:cs="Times New Roman"/>
          <w:kern w:val="2"/>
          <w:sz w:val="32"/>
          <w:szCs w:val="32"/>
        </w:rPr>
        <w:t>主要原因是</w:t>
      </w:r>
      <w:r w:rsidR="003C18BD">
        <w:rPr>
          <w:rFonts w:ascii="Times New Roman" w:eastAsia="方正仿宋_GBK" w:hAnsi="Times New Roman" w:cs="Times New Roman" w:hint="eastAsia"/>
          <w:kern w:val="2"/>
          <w:sz w:val="32"/>
          <w:szCs w:val="32"/>
        </w:rPr>
        <w:t>追加</w:t>
      </w:r>
      <w:r w:rsidR="003C18BD" w:rsidRPr="00CE4220">
        <w:rPr>
          <w:rFonts w:ascii="Times New Roman" w:eastAsia="方正仿宋_GBK" w:hAnsi="Times New Roman" w:cs="Times New Roman" w:hint="eastAsia"/>
          <w:kern w:val="2"/>
          <w:sz w:val="32"/>
          <w:szCs w:val="32"/>
        </w:rPr>
        <w:t>201</w:t>
      </w:r>
      <w:r w:rsidR="003C18BD">
        <w:rPr>
          <w:rFonts w:ascii="Times New Roman" w:eastAsia="方正仿宋_GBK" w:hAnsi="Times New Roman" w:cs="Times New Roman" w:hint="eastAsia"/>
          <w:kern w:val="2"/>
          <w:sz w:val="32"/>
          <w:szCs w:val="32"/>
        </w:rPr>
        <w:t>9</w:t>
      </w:r>
      <w:r w:rsidR="003C18BD" w:rsidRPr="00CE4220">
        <w:rPr>
          <w:rFonts w:ascii="Times New Roman" w:eastAsia="方正仿宋_GBK" w:hAnsi="Times New Roman" w:cs="Times New Roman" w:hint="eastAsia"/>
          <w:kern w:val="2"/>
          <w:sz w:val="32"/>
          <w:szCs w:val="32"/>
        </w:rPr>
        <w:t>年度新招录辅警</w:t>
      </w:r>
      <w:r w:rsidR="003C18BD" w:rsidRPr="00CE4220">
        <w:rPr>
          <w:rFonts w:ascii="Times New Roman" w:eastAsia="方正仿宋_GBK" w:hAnsi="Times New Roman" w:cs="Times New Roman" w:hint="eastAsia"/>
          <w:kern w:val="2"/>
          <w:sz w:val="32"/>
          <w:szCs w:val="32"/>
        </w:rPr>
        <w:t>100</w:t>
      </w:r>
      <w:r w:rsidR="003C18BD" w:rsidRPr="00CE4220">
        <w:rPr>
          <w:rFonts w:ascii="Times New Roman" w:eastAsia="方正仿宋_GBK" w:hAnsi="Times New Roman" w:cs="Times New Roman" w:hint="eastAsia"/>
          <w:kern w:val="2"/>
          <w:sz w:val="32"/>
          <w:szCs w:val="32"/>
        </w:rPr>
        <w:t>人</w:t>
      </w:r>
      <w:r w:rsidR="003C18BD">
        <w:rPr>
          <w:rFonts w:ascii="Times New Roman" w:eastAsia="方正仿宋_GBK" w:hAnsi="Times New Roman" w:cs="Times New Roman" w:hint="eastAsia"/>
          <w:kern w:val="2"/>
          <w:sz w:val="32"/>
          <w:szCs w:val="32"/>
        </w:rPr>
        <w:t>经费</w:t>
      </w:r>
      <w:r w:rsidR="003C18BD" w:rsidRPr="00CE4220">
        <w:rPr>
          <w:rFonts w:ascii="Times New Roman" w:eastAsia="方正仿宋_GBK" w:hAnsi="Times New Roman" w:cs="Times New Roman" w:hint="eastAsia"/>
          <w:kern w:val="2"/>
          <w:sz w:val="32"/>
          <w:szCs w:val="32"/>
        </w:rPr>
        <w:t>，安排</w:t>
      </w:r>
      <w:r w:rsidR="003C18BD">
        <w:rPr>
          <w:rFonts w:ascii="Times New Roman" w:eastAsia="方正仿宋_GBK" w:hAnsi="Times New Roman" w:cs="Times New Roman" w:hint="eastAsia"/>
          <w:kern w:val="2"/>
          <w:sz w:val="32"/>
          <w:szCs w:val="32"/>
        </w:rPr>
        <w:t>“三所一队”迁建工程土地款</w:t>
      </w:r>
      <w:r w:rsidR="004A0A59">
        <w:rPr>
          <w:rFonts w:ascii="Times New Roman" w:eastAsia="方正仿宋_GBK" w:hAnsi="Times New Roman" w:cs="Times New Roman" w:hint="eastAsia"/>
          <w:kern w:val="2"/>
          <w:sz w:val="32"/>
          <w:szCs w:val="32"/>
        </w:rPr>
        <w:t>8470.68</w:t>
      </w:r>
      <w:r w:rsidR="003C18BD">
        <w:rPr>
          <w:rFonts w:ascii="Times New Roman" w:eastAsia="方正仿宋_GBK" w:hAnsi="Times New Roman" w:cs="Times New Roman" w:hint="eastAsia"/>
          <w:kern w:val="2"/>
          <w:sz w:val="32"/>
          <w:szCs w:val="32"/>
        </w:rPr>
        <w:t>万元等</w:t>
      </w:r>
      <w:r w:rsidR="003C18BD" w:rsidRPr="00CE4220">
        <w:rPr>
          <w:rFonts w:ascii="Times New Roman" w:eastAsia="方正仿宋_GBK" w:hAnsi="Times New Roman" w:cs="Times New Roman" w:hint="eastAsia"/>
          <w:kern w:val="2"/>
          <w:sz w:val="32"/>
          <w:szCs w:val="32"/>
        </w:rPr>
        <w:t>。</w:t>
      </w:r>
      <w:r>
        <w:rPr>
          <w:rFonts w:ascii="Times New Roman" w:eastAsia="方正仿宋_GBK" w:hAnsi="Times New Roman" w:cs="Times New Roman"/>
          <w:sz w:val="32"/>
          <w:szCs w:val="32"/>
        </w:rPr>
        <w:t>此外，年初财政拨款结转和结余</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w:t>
      </w:r>
    </w:p>
    <w:p w:rsidR="006B34BD" w:rsidRDefault="004F6E30" w:rsidP="004F6E30">
      <w:pPr>
        <w:pStyle w:val="a6"/>
        <w:shd w:val="clear" w:color="auto" w:fill="FFFFFF"/>
        <w:spacing w:before="0" w:beforeAutospacing="0" w:after="0" w:afterAutospacing="0" w:line="594" w:lineRule="exact"/>
        <w:ind w:firstLineChars="200" w:firstLine="643"/>
        <w:rPr>
          <w:rFonts w:ascii="Times New Roman" w:eastAsia="方正仿宋_GBK" w:hAnsi="Times New Roman" w:cs="Times New Roman"/>
          <w:sz w:val="32"/>
          <w:szCs w:val="32"/>
        </w:rPr>
      </w:pPr>
      <w:r>
        <w:rPr>
          <w:rStyle w:val="a7"/>
          <w:rFonts w:ascii="Times New Roman" w:eastAsia="方正仿宋_GBK" w:hAnsi="Times New Roman" w:cs="Times New Roman"/>
          <w:sz w:val="32"/>
          <w:szCs w:val="32"/>
        </w:rPr>
        <w:t>3.</w:t>
      </w:r>
      <w:r>
        <w:rPr>
          <w:rStyle w:val="a7"/>
          <w:rFonts w:ascii="Times New Roman" w:eastAsia="方正仿宋_GBK" w:hAnsi="Times New Roman" w:cs="Times New Roman"/>
          <w:sz w:val="32"/>
          <w:szCs w:val="32"/>
        </w:rPr>
        <w:t>结转结余情况。</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年度年末一般公共预算财政拨款结转和结余</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万元，较上年决算数增加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w:t>
      </w:r>
    </w:p>
    <w:p w:rsidR="006B34BD" w:rsidRDefault="004F6E30" w:rsidP="004F6E30">
      <w:pPr>
        <w:pStyle w:val="a6"/>
        <w:shd w:val="clear" w:color="auto" w:fill="FFFFFF"/>
        <w:spacing w:before="0" w:beforeAutospacing="0" w:after="0" w:afterAutospacing="0" w:line="594" w:lineRule="exact"/>
        <w:ind w:firstLineChars="200" w:firstLine="643"/>
        <w:rPr>
          <w:rFonts w:ascii="Times New Roman" w:eastAsia="方正仿宋_GBK" w:hAnsi="Times New Roman" w:cs="Times New Roman"/>
          <w:sz w:val="32"/>
          <w:szCs w:val="32"/>
        </w:rPr>
      </w:pPr>
      <w:r>
        <w:rPr>
          <w:rStyle w:val="a7"/>
          <w:rFonts w:ascii="Times New Roman" w:eastAsia="方正仿宋_GBK" w:hAnsi="Times New Roman" w:cs="Times New Roman"/>
          <w:sz w:val="32"/>
          <w:szCs w:val="32"/>
        </w:rPr>
        <w:t>4.</w:t>
      </w:r>
      <w:r>
        <w:rPr>
          <w:rStyle w:val="a7"/>
          <w:rFonts w:ascii="Times New Roman" w:eastAsia="方正仿宋_GBK" w:hAnsi="Times New Roman" w:cs="Times New Roman"/>
          <w:sz w:val="32"/>
          <w:szCs w:val="32"/>
        </w:rPr>
        <w:t>比较情况。</w:t>
      </w:r>
      <w:r>
        <w:rPr>
          <w:rFonts w:ascii="Times New Roman" w:eastAsia="方正仿宋_GBK" w:hAnsi="Times New Roman" w:cs="Times New Roman"/>
          <w:sz w:val="32"/>
          <w:szCs w:val="32"/>
        </w:rPr>
        <w:t>本部门</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年度一般公共预算财政拨款支出主要用于以下几个方面：</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sidR="0077743F">
        <w:rPr>
          <w:rFonts w:ascii="Times New Roman" w:eastAsia="方正仿宋_GBK" w:hAnsi="Times New Roman" w:cs="Times New Roman" w:hint="eastAsia"/>
          <w:sz w:val="32"/>
          <w:szCs w:val="32"/>
        </w:rPr>
        <w:t>公共安全</w:t>
      </w:r>
      <w:r>
        <w:rPr>
          <w:rFonts w:ascii="Times New Roman" w:eastAsia="方正仿宋_GBK" w:hAnsi="Times New Roman" w:cs="Times New Roman"/>
          <w:sz w:val="32"/>
          <w:szCs w:val="32"/>
        </w:rPr>
        <w:t>支出</w:t>
      </w:r>
      <w:r w:rsidR="0077743F">
        <w:rPr>
          <w:rFonts w:ascii="Times New Roman" w:eastAsia="方正仿宋_GBK" w:hAnsi="Times New Roman" w:cs="Times New Roman" w:hint="eastAsia"/>
          <w:sz w:val="32"/>
          <w:szCs w:val="32"/>
        </w:rPr>
        <w:t>23901.48</w:t>
      </w:r>
      <w:r>
        <w:rPr>
          <w:rFonts w:ascii="Times New Roman" w:eastAsia="方正仿宋_GBK" w:hAnsi="Times New Roman" w:cs="Times New Roman"/>
          <w:sz w:val="32"/>
          <w:szCs w:val="32"/>
        </w:rPr>
        <w:t>万元，占</w:t>
      </w:r>
      <w:r w:rsidR="00611B0E">
        <w:rPr>
          <w:rFonts w:ascii="Times New Roman" w:eastAsia="方正仿宋_GBK" w:hAnsi="Times New Roman" w:cs="Times New Roman" w:hint="eastAsia"/>
          <w:sz w:val="32"/>
          <w:szCs w:val="32"/>
        </w:rPr>
        <w:t>67.60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，较年初预算数增加</w:t>
      </w:r>
      <w:r w:rsidR="00611B0E">
        <w:rPr>
          <w:rFonts w:ascii="Times New Roman" w:eastAsia="方正仿宋_GBK" w:hAnsi="Times New Roman" w:cs="Times New Roman" w:hint="eastAsia"/>
          <w:sz w:val="32"/>
          <w:szCs w:val="32"/>
        </w:rPr>
        <w:t>3612.57</w:t>
      </w:r>
      <w:r>
        <w:rPr>
          <w:rFonts w:ascii="Times New Roman" w:eastAsia="方正仿宋_GBK" w:hAnsi="Times New Roman" w:cs="Times New Roman"/>
          <w:sz w:val="32"/>
          <w:szCs w:val="32"/>
        </w:rPr>
        <w:t>万元，增长</w:t>
      </w:r>
      <w:r w:rsidR="00611B0E">
        <w:rPr>
          <w:rFonts w:ascii="Times New Roman" w:eastAsia="方正仿宋_GBK" w:hAnsi="Times New Roman" w:cs="Times New Roman" w:hint="eastAsia"/>
          <w:sz w:val="32"/>
          <w:szCs w:val="32"/>
        </w:rPr>
        <w:t>17.81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人员变动频繁、工资变动、目标考核奖金增加、退休人员健康休养费增加、发放退休人员中人一次性退休补贴等</w:t>
      </w:r>
      <w:r>
        <w:rPr>
          <w:rFonts w:ascii="Times New Roman" w:eastAsia="方正仿宋_GBK" w:hAnsi="Times New Roman" w:cs="Times New Roman"/>
          <w:sz w:val="32"/>
          <w:szCs w:val="32"/>
        </w:rPr>
        <w:t>。</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）社会保障与就业支出</w:t>
      </w:r>
      <w:r w:rsidR="00611B0E">
        <w:rPr>
          <w:rFonts w:ascii="Times New Roman" w:eastAsia="方正仿宋_GBK" w:hAnsi="Times New Roman" w:cs="Times New Roman" w:hint="eastAsia"/>
          <w:sz w:val="32"/>
          <w:szCs w:val="32"/>
        </w:rPr>
        <w:t>1570.00</w:t>
      </w:r>
      <w:r>
        <w:rPr>
          <w:rFonts w:ascii="Times New Roman" w:eastAsia="方正仿宋_GBK" w:hAnsi="Times New Roman" w:cs="Times New Roman"/>
          <w:sz w:val="32"/>
          <w:szCs w:val="32"/>
        </w:rPr>
        <w:t>万元，占</w:t>
      </w:r>
      <w:r w:rsidR="00611B0E">
        <w:rPr>
          <w:rFonts w:ascii="Times New Roman" w:eastAsia="方正仿宋_GBK" w:hAnsi="Times New Roman" w:cs="Times New Roman" w:hint="eastAsia"/>
          <w:sz w:val="32"/>
          <w:szCs w:val="32"/>
        </w:rPr>
        <w:t>4.44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，较年初预算数增加</w:t>
      </w:r>
      <w:r w:rsidR="00611B0E">
        <w:rPr>
          <w:rFonts w:ascii="Times New Roman" w:eastAsia="方正仿宋_GBK" w:hAnsi="Times New Roman" w:cs="Times New Roman" w:hint="eastAsia"/>
          <w:sz w:val="32"/>
          <w:szCs w:val="32"/>
        </w:rPr>
        <w:t>98.49</w:t>
      </w:r>
      <w:r>
        <w:rPr>
          <w:rFonts w:ascii="Times New Roman" w:eastAsia="方正仿宋_GBK" w:hAnsi="Times New Roman" w:cs="Times New Roman"/>
          <w:sz w:val="32"/>
          <w:szCs w:val="32"/>
        </w:rPr>
        <w:t>万元，增长</w:t>
      </w:r>
      <w:r w:rsidR="00611B0E">
        <w:rPr>
          <w:rFonts w:ascii="Times New Roman" w:eastAsia="方正仿宋_GBK" w:hAnsi="Times New Roman" w:cs="Times New Roman" w:hint="eastAsia"/>
          <w:sz w:val="32"/>
          <w:szCs w:val="32"/>
        </w:rPr>
        <w:t>6.69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人员变动频繁、工资变动等导致社会保障与就业支出增加</w:t>
      </w:r>
      <w:r>
        <w:rPr>
          <w:rFonts w:ascii="Times New Roman" w:eastAsia="方正仿宋_GBK" w:hAnsi="Times New Roman" w:cs="Times New Roman"/>
          <w:sz w:val="32"/>
          <w:szCs w:val="32"/>
        </w:rPr>
        <w:t>。</w:t>
      </w:r>
    </w:p>
    <w:p w:rsidR="00611B0E" w:rsidRDefault="00611B0E" w:rsidP="00611B0E">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卫生健康</w:t>
      </w:r>
      <w:r>
        <w:rPr>
          <w:rFonts w:ascii="Times New Roman" w:eastAsia="方正仿宋_GBK" w:hAnsi="Times New Roman" w:cs="Times New Roman"/>
          <w:sz w:val="32"/>
          <w:szCs w:val="32"/>
        </w:rPr>
        <w:t>支出</w:t>
      </w:r>
      <w:r w:rsidR="00392654">
        <w:rPr>
          <w:rFonts w:ascii="Times New Roman" w:eastAsia="方正仿宋_GBK" w:hAnsi="Times New Roman" w:cs="Times New Roman" w:hint="eastAsia"/>
          <w:sz w:val="32"/>
          <w:szCs w:val="32"/>
        </w:rPr>
        <w:t>578.44</w:t>
      </w:r>
      <w:r>
        <w:rPr>
          <w:rFonts w:ascii="Times New Roman" w:eastAsia="方正仿宋_GBK" w:hAnsi="Times New Roman" w:cs="Times New Roman"/>
          <w:sz w:val="32"/>
          <w:szCs w:val="32"/>
        </w:rPr>
        <w:t>万元，占</w:t>
      </w:r>
      <w:r w:rsidR="00392654">
        <w:rPr>
          <w:rFonts w:ascii="Times New Roman" w:eastAsia="方正仿宋_GBK" w:hAnsi="Times New Roman" w:cs="Times New Roman" w:hint="eastAsia"/>
          <w:sz w:val="32"/>
          <w:szCs w:val="32"/>
        </w:rPr>
        <w:t>1.64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，较年初预算数</w:t>
      </w:r>
      <w:r w:rsidR="00392654">
        <w:rPr>
          <w:rFonts w:ascii="Times New Roman" w:eastAsia="方正仿宋_GBK" w:hAnsi="Times New Roman" w:cs="Times New Roman" w:hint="eastAsia"/>
          <w:sz w:val="32"/>
          <w:szCs w:val="32"/>
        </w:rPr>
        <w:t>减少</w:t>
      </w:r>
      <w:r w:rsidR="00392654">
        <w:rPr>
          <w:rFonts w:ascii="Times New Roman" w:eastAsia="方正仿宋_GBK" w:hAnsi="Times New Roman" w:cs="Times New Roman" w:hint="eastAsia"/>
          <w:sz w:val="32"/>
          <w:szCs w:val="32"/>
        </w:rPr>
        <w:t>47.04</w:t>
      </w:r>
      <w:r>
        <w:rPr>
          <w:rFonts w:ascii="Times New Roman" w:eastAsia="方正仿宋_GBK" w:hAnsi="Times New Roman" w:cs="Times New Roman"/>
          <w:sz w:val="32"/>
          <w:szCs w:val="32"/>
        </w:rPr>
        <w:t>万元，</w:t>
      </w:r>
      <w:r w:rsidR="00392654">
        <w:rPr>
          <w:rFonts w:ascii="Times New Roman" w:eastAsia="方正仿宋_GBK" w:hAnsi="Times New Roman" w:cs="Times New Roman" w:hint="eastAsia"/>
          <w:sz w:val="32"/>
          <w:szCs w:val="32"/>
        </w:rPr>
        <w:t>减少</w:t>
      </w:r>
      <w:r w:rsidR="00392654">
        <w:rPr>
          <w:rFonts w:ascii="Times New Roman" w:eastAsia="方正仿宋_GBK" w:hAnsi="Times New Roman" w:cs="Times New Roman" w:hint="eastAsia"/>
          <w:sz w:val="32"/>
          <w:szCs w:val="32"/>
        </w:rPr>
        <w:t>7.52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人员变动频繁、工资变动、遗属补贴调表等导致卫生健康支出</w:t>
      </w:r>
      <w:r w:rsidR="00392654">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sidR="00392654">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w:t>
      </w:r>
      <w:r w:rsidR="00611B0E">
        <w:rPr>
          <w:rFonts w:ascii="Times New Roman" w:eastAsia="方正仿宋_GBK" w:hAnsi="Times New Roman" w:cs="Times New Roman" w:hint="eastAsia"/>
          <w:sz w:val="32"/>
          <w:szCs w:val="32"/>
        </w:rPr>
        <w:t>城乡社区</w:t>
      </w:r>
      <w:r>
        <w:rPr>
          <w:rFonts w:ascii="Times New Roman" w:eastAsia="方正仿宋_GBK" w:hAnsi="Times New Roman" w:cs="Times New Roman"/>
          <w:sz w:val="32"/>
          <w:szCs w:val="32"/>
        </w:rPr>
        <w:t>支出</w:t>
      </w:r>
      <w:r w:rsidR="00611B0E">
        <w:rPr>
          <w:rFonts w:ascii="Times New Roman" w:eastAsia="方正仿宋_GBK" w:hAnsi="Times New Roman" w:cs="Times New Roman" w:hint="eastAsia"/>
          <w:sz w:val="32"/>
          <w:szCs w:val="32"/>
        </w:rPr>
        <w:t>195.68</w:t>
      </w:r>
      <w:r>
        <w:rPr>
          <w:rFonts w:ascii="Times New Roman" w:eastAsia="方正仿宋_GBK" w:hAnsi="Times New Roman" w:cs="Times New Roman"/>
          <w:sz w:val="32"/>
          <w:szCs w:val="32"/>
        </w:rPr>
        <w:t>万元，占</w:t>
      </w:r>
      <w:r w:rsidR="00611B0E">
        <w:rPr>
          <w:rFonts w:ascii="Times New Roman" w:eastAsia="方正仿宋_GBK" w:hAnsi="Times New Roman" w:cs="Times New Roman" w:hint="eastAsia"/>
          <w:sz w:val="32"/>
          <w:szCs w:val="32"/>
        </w:rPr>
        <w:t>0.55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，较年初预算数增加</w:t>
      </w:r>
      <w:r w:rsidR="00611B0E">
        <w:rPr>
          <w:rFonts w:ascii="Times New Roman" w:eastAsia="方正仿宋_GBK" w:hAnsi="Times New Roman" w:cs="Times New Roman" w:hint="eastAsia"/>
          <w:sz w:val="32"/>
          <w:szCs w:val="32"/>
        </w:rPr>
        <w:t>195.68</w:t>
      </w:r>
      <w:r>
        <w:rPr>
          <w:rFonts w:ascii="Times New Roman" w:eastAsia="方正仿宋_GBK" w:hAnsi="Times New Roman" w:cs="Times New Roman"/>
          <w:sz w:val="32"/>
          <w:szCs w:val="32"/>
        </w:rPr>
        <w:t>万元，增长</w:t>
      </w:r>
      <w:r w:rsidR="00611B0E">
        <w:rPr>
          <w:rFonts w:ascii="Times New Roman" w:eastAsia="方正仿宋_GBK" w:hAnsi="Times New Roman" w:cs="Times New Roman" w:hint="eastAsia"/>
          <w:sz w:val="32"/>
          <w:szCs w:val="32"/>
        </w:rPr>
        <w:t>100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sidR="00392654">
        <w:rPr>
          <w:rFonts w:ascii="Times New Roman" w:eastAsia="方正仿宋_GBK" w:hAnsi="Times New Roman" w:cs="Times New Roman" w:hint="eastAsia"/>
          <w:sz w:val="32"/>
          <w:szCs w:val="32"/>
        </w:rPr>
        <w:t>三所一队项目资金</w:t>
      </w:r>
      <w:r>
        <w:rPr>
          <w:rFonts w:ascii="Times New Roman" w:eastAsia="方正仿宋_GBK" w:hAnsi="Times New Roman" w:cs="Times New Roman" w:hint="eastAsia"/>
          <w:sz w:val="32"/>
          <w:szCs w:val="32"/>
        </w:rPr>
        <w:t>。</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sidR="00392654">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）住房保障支出</w:t>
      </w:r>
      <w:r w:rsidR="00392654">
        <w:rPr>
          <w:rFonts w:ascii="Times New Roman" w:eastAsia="方正仿宋_GBK" w:hAnsi="Times New Roman" w:cs="Times New Roman" w:hint="eastAsia"/>
          <w:sz w:val="32"/>
          <w:szCs w:val="32"/>
        </w:rPr>
        <w:t>841.50</w:t>
      </w:r>
      <w:r>
        <w:rPr>
          <w:rFonts w:ascii="Times New Roman" w:eastAsia="方正仿宋_GBK" w:hAnsi="Times New Roman" w:cs="Times New Roman"/>
          <w:sz w:val="32"/>
          <w:szCs w:val="32"/>
        </w:rPr>
        <w:t>万元，占</w:t>
      </w:r>
      <w:r w:rsidR="00392654">
        <w:rPr>
          <w:rFonts w:ascii="Times New Roman" w:eastAsia="方正仿宋_GBK" w:hAnsi="Times New Roman" w:cs="Times New Roman" w:hint="eastAsia"/>
          <w:sz w:val="32"/>
          <w:szCs w:val="32"/>
        </w:rPr>
        <w:t>2.38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，较年初预算数增加</w:t>
      </w:r>
      <w:r w:rsidR="00392654">
        <w:rPr>
          <w:rFonts w:ascii="Times New Roman" w:eastAsia="方正仿宋_GBK" w:hAnsi="Times New Roman" w:cs="Times New Roman" w:hint="eastAsia"/>
          <w:sz w:val="32"/>
          <w:szCs w:val="32"/>
        </w:rPr>
        <w:t>327.22</w:t>
      </w:r>
      <w:r>
        <w:rPr>
          <w:rFonts w:ascii="Times New Roman" w:eastAsia="方正仿宋_GBK" w:hAnsi="Times New Roman" w:cs="Times New Roman"/>
          <w:sz w:val="32"/>
          <w:szCs w:val="32"/>
        </w:rPr>
        <w:t>万元，增长</w:t>
      </w:r>
      <w:r w:rsidR="00392654">
        <w:rPr>
          <w:rFonts w:ascii="Times New Roman" w:eastAsia="方正仿宋_GBK" w:hAnsi="Times New Roman" w:cs="Times New Roman" w:hint="eastAsia"/>
          <w:sz w:val="32"/>
          <w:szCs w:val="32"/>
        </w:rPr>
        <w:t>63.62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工资变动、住房公积金缴存基数变化导致住房保障支出增加</w:t>
      </w:r>
      <w:r>
        <w:rPr>
          <w:rFonts w:ascii="Times New Roman" w:eastAsia="方正仿宋_GBK" w:hAnsi="Times New Roman" w:cs="Times New Roman"/>
          <w:sz w:val="32"/>
          <w:szCs w:val="32"/>
        </w:rPr>
        <w:t>。</w:t>
      </w:r>
    </w:p>
    <w:p w:rsidR="00392654" w:rsidRDefault="00392654" w:rsidP="00392654">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其他</w:t>
      </w:r>
      <w:r>
        <w:rPr>
          <w:rFonts w:ascii="Times New Roman" w:eastAsia="方正仿宋_GBK" w:hAnsi="Times New Roman" w:cs="Times New Roman"/>
          <w:sz w:val="32"/>
          <w:szCs w:val="32"/>
        </w:rPr>
        <w:t>支出</w:t>
      </w:r>
      <w:r w:rsidR="00592B72">
        <w:rPr>
          <w:rFonts w:ascii="Times New Roman" w:eastAsia="方正仿宋_GBK" w:hAnsi="Times New Roman" w:cs="Times New Roman" w:hint="eastAsia"/>
          <w:sz w:val="32"/>
          <w:szCs w:val="32"/>
        </w:rPr>
        <w:t>8275</w:t>
      </w:r>
      <w:r>
        <w:rPr>
          <w:rFonts w:ascii="Times New Roman" w:eastAsia="方正仿宋_GBK" w:hAnsi="Times New Roman" w:cs="Times New Roman"/>
          <w:sz w:val="32"/>
          <w:szCs w:val="32"/>
        </w:rPr>
        <w:t>万元，占</w:t>
      </w:r>
      <w:r w:rsidR="00592B72">
        <w:rPr>
          <w:rFonts w:ascii="Times New Roman" w:eastAsia="方正仿宋_GBK" w:hAnsi="Times New Roman" w:cs="Times New Roman" w:hint="eastAsia"/>
          <w:sz w:val="32"/>
          <w:szCs w:val="32"/>
        </w:rPr>
        <w:t>23.40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，较年初预算数增加</w:t>
      </w:r>
      <w:r w:rsidR="00592B72">
        <w:rPr>
          <w:rFonts w:ascii="Times New Roman" w:eastAsia="方正仿宋_GBK" w:hAnsi="Times New Roman" w:cs="Times New Roman" w:hint="eastAsia"/>
          <w:sz w:val="32"/>
          <w:szCs w:val="32"/>
        </w:rPr>
        <w:t>8275</w:t>
      </w:r>
      <w:r>
        <w:rPr>
          <w:rFonts w:ascii="Times New Roman" w:eastAsia="方正仿宋_GBK" w:hAnsi="Times New Roman" w:cs="Times New Roman"/>
          <w:sz w:val="32"/>
          <w:szCs w:val="32"/>
        </w:rPr>
        <w:t>万元，增长</w:t>
      </w:r>
      <w:r>
        <w:rPr>
          <w:rFonts w:ascii="Times New Roman" w:eastAsia="方正仿宋_GBK" w:hAnsi="Times New Roman" w:cs="Times New Roman" w:hint="eastAsia"/>
          <w:sz w:val="32"/>
          <w:szCs w:val="32"/>
        </w:rPr>
        <w:t>100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三所一队项目资金。</w:t>
      </w:r>
    </w:p>
    <w:p w:rsidR="006B34BD" w:rsidRDefault="004F6E30">
      <w:pPr>
        <w:pStyle w:val="a6"/>
        <w:shd w:val="clear" w:color="auto" w:fill="FFFFFF"/>
        <w:spacing w:before="0" w:beforeAutospacing="0" w:after="0" w:afterAutospacing="0" w:line="594" w:lineRule="exact"/>
        <w:ind w:firstLineChars="200" w:firstLine="640"/>
        <w:rPr>
          <w:rStyle w:val="a7"/>
          <w:rFonts w:ascii="Times New Roman" w:eastAsia="方正楷体_GBK" w:hAnsi="Times New Roman" w:cs="Times New Roman"/>
        </w:rPr>
      </w:pPr>
      <w:r>
        <w:rPr>
          <w:rStyle w:val="a7"/>
          <w:rFonts w:ascii="Times New Roman" w:eastAsia="方正楷体_GBK" w:hAnsi="Times New Roman" w:cs="Times New Roman"/>
          <w:sz w:val="32"/>
          <w:szCs w:val="32"/>
        </w:rPr>
        <w:t>（四）一般公共预算财政拨款基本支出决算情况说明</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年度一般公共财政拨款基本支出</w:t>
      </w:r>
      <w:r w:rsidR="00592B72">
        <w:rPr>
          <w:rFonts w:ascii="Times New Roman" w:eastAsia="方正仿宋_GBK" w:hAnsi="Times New Roman" w:cs="Times New Roman" w:hint="eastAsia"/>
          <w:kern w:val="2"/>
          <w:sz w:val="32"/>
          <w:szCs w:val="32"/>
        </w:rPr>
        <w:t>35362.10</w:t>
      </w:r>
      <w:r>
        <w:rPr>
          <w:rFonts w:ascii="Times New Roman" w:eastAsia="方正仿宋_GBK" w:hAnsi="Times New Roman" w:cs="Times New Roman"/>
          <w:sz w:val="32"/>
          <w:szCs w:val="32"/>
        </w:rPr>
        <w:t>万元。其中：人员经费</w:t>
      </w:r>
      <w:r w:rsidR="00592B72">
        <w:rPr>
          <w:rFonts w:ascii="Times New Roman" w:eastAsia="方正仿宋_GBK" w:hAnsi="Times New Roman" w:cs="Times New Roman" w:hint="eastAsia"/>
          <w:sz w:val="32"/>
          <w:szCs w:val="32"/>
        </w:rPr>
        <w:t>13950.24</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较上年决算数</w:t>
      </w:r>
      <w:r w:rsidR="00592B72">
        <w:rPr>
          <w:rFonts w:ascii="Times New Roman" w:eastAsia="方正仿宋_GBK" w:hAnsi="Times New Roman" w:cs="Times New Roman" w:hint="eastAsia"/>
          <w:sz w:val="32"/>
          <w:szCs w:val="32"/>
        </w:rPr>
        <w:t>增加</w:t>
      </w:r>
      <w:r w:rsidR="00CE1B7D">
        <w:rPr>
          <w:rFonts w:ascii="Times New Roman" w:eastAsia="方正仿宋_GBK" w:hAnsi="Times New Roman" w:cs="Times New Roman" w:hint="eastAsia"/>
          <w:kern w:val="2"/>
          <w:sz w:val="32"/>
          <w:szCs w:val="32"/>
        </w:rPr>
        <w:t>776.02</w:t>
      </w:r>
      <w:r w:rsidR="00592B72">
        <w:rPr>
          <w:rFonts w:ascii="Times New Roman" w:eastAsia="方正仿宋_GBK" w:hAnsi="Times New Roman" w:cs="Times New Roman" w:hint="eastAsia"/>
          <w:kern w:val="2"/>
          <w:sz w:val="32"/>
          <w:szCs w:val="32"/>
        </w:rPr>
        <w:t>万元，增长</w:t>
      </w:r>
      <w:r w:rsidR="00CE1B7D">
        <w:rPr>
          <w:rFonts w:ascii="Times New Roman" w:eastAsia="方正仿宋_GBK" w:hAnsi="Times New Roman" w:cs="Times New Roman" w:hint="eastAsia"/>
          <w:kern w:val="2"/>
          <w:sz w:val="32"/>
          <w:szCs w:val="32"/>
        </w:rPr>
        <w:t>5.89</w:t>
      </w:r>
      <w:r w:rsidR="00592B72">
        <w:rPr>
          <w:rFonts w:ascii="Times New Roman" w:eastAsia="方正仿宋_GBK" w:hAnsi="Times New Roman" w:cs="Times New Roman" w:hint="eastAsia"/>
          <w:kern w:val="2"/>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年人员变动频繁、工资变动、目标考核奖金增</w:t>
      </w:r>
      <w:r>
        <w:rPr>
          <w:rFonts w:ascii="Times New Roman" w:eastAsia="方正仿宋_GBK" w:hAnsi="Times New Roman" w:cs="Times New Roman" w:hint="eastAsia"/>
          <w:sz w:val="32"/>
          <w:szCs w:val="32"/>
        </w:rPr>
        <w:lastRenderedPageBreak/>
        <w:t>加、退休人员健康休养费增加、发放退休人员中人一次性退休补贴导致人员经费增加</w:t>
      </w:r>
      <w:r>
        <w:rPr>
          <w:rFonts w:ascii="Times New Roman" w:eastAsia="方正仿宋_GBK" w:hAnsi="Times New Roman" w:cs="Times New Roman"/>
          <w:sz w:val="32"/>
          <w:szCs w:val="32"/>
        </w:rPr>
        <w:t>。人员经费用途主要包括基本工资、津贴补贴、奖金、社会保障缴费</w:t>
      </w:r>
      <w:r>
        <w:rPr>
          <w:rFonts w:ascii="Times New Roman" w:eastAsia="方正仿宋_GBK" w:hAnsi="Times New Roman" w:cs="Times New Roman" w:hint="eastAsia"/>
          <w:sz w:val="32"/>
          <w:szCs w:val="32"/>
        </w:rPr>
        <w:t>、职工住房公积金、发放遗属生活补贴、发放中人一次退休补贴</w:t>
      </w:r>
      <w:r>
        <w:rPr>
          <w:rFonts w:ascii="Times New Roman" w:eastAsia="方正仿宋_GBK" w:hAnsi="Times New Roman" w:cs="Times New Roman"/>
          <w:sz w:val="32"/>
          <w:szCs w:val="32"/>
        </w:rPr>
        <w:t>。公用经费</w:t>
      </w:r>
      <w:r w:rsidR="00CE1B7D">
        <w:rPr>
          <w:rFonts w:ascii="Times New Roman" w:eastAsia="方正仿宋_GBK" w:hAnsi="Times New Roman" w:cs="Times New Roman" w:hint="eastAsia"/>
          <w:sz w:val="32"/>
          <w:szCs w:val="32"/>
        </w:rPr>
        <w:t>4217.30</w:t>
      </w:r>
      <w:r>
        <w:rPr>
          <w:rFonts w:ascii="Times New Roman" w:eastAsia="方正仿宋_GBK" w:hAnsi="Times New Roman" w:cs="Times New Roman"/>
          <w:sz w:val="32"/>
          <w:szCs w:val="32"/>
        </w:rPr>
        <w:t>万元，较上年决算数增加</w:t>
      </w:r>
      <w:r w:rsidR="00CE1B7D">
        <w:rPr>
          <w:rFonts w:ascii="Times New Roman" w:eastAsia="方正仿宋_GBK" w:hAnsi="Times New Roman" w:cs="Times New Roman" w:hint="eastAsia"/>
          <w:sz w:val="32"/>
          <w:szCs w:val="32"/>
        </w:rPr>
        <w:t>1886.77</w:t>
      </w:r>
      <w:r>
        <w:rPr>
          <w:rFonts w:ascii="Times New Roman" w:eastAsia="方正仿宋_GBK" w:hAnsi="Times New Roman" w:cs="Times New Roman"/>
          <w:sz w:val="32"/>
          <w:szCs w:val="32"/>
        </w:rPr>
        <w:t>万元，增长</w:t>
      </w:r>
      <w:r w:rsidR="00CE1B7D">
        <w:rPr>
          <w:rFonts w:ascii="Times New Roman" w:eastAsia="方正仿宋_GBK" w:hAnsi="Times New Roman" w:cs="Times New Roman" w:hint="eastAsia"/>
          <w:sz w:val="32"/>
          <w:szCs w:val="32"/>
        </w:rPr>
        <w:t>80.96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人员变动频繁、总人次增加，导致公用经费增加</w:t>
      </w:r>
      <w:r>
        <w:rPr>
          <w:rFonts w:ascii="Times New Roman" w:eastAsia="方正仿宋_GBK" w:hAnsi="Times New Roman" w:cs="Times New Roman"/>
          <w:sz w:val="32"/>
          <w:szCs w:val="32"/>
        </w:rPr>
        <w:t>。公用经费用途主要包括办公费、印刷费、邮电费、水电费、公务接待费、车辆运行维护费、物管费、差旅费、会议费、培训费及其他商品和服务支出等。</w:t>
      </w:r>
    </w:p>
    <w:p w:rsidR="006B34BD" w:rsidRDefault="004F6E30">
      <w:pPr>
        <w:pStyle w:val="a6"/>
        <w:shd w:val="clear" w:color="auto" w:fill="FFFFFF"/>
        <w:spacing w:before="0" w:beforeAutospacing="0" w:after="0" w:afterAutospacing="0" w:line="594" w:lineRule="exact"/>
        <w:ind w:firstLineChars="200" w:firstLine="640"/>
        <w:rPr>
          <w:rStyle w:val="a7"/>
          <w:rFonts w:ascii="Times New Roman" w:eastAsia="方正楷体_GBK" w:hAnsi="Times New Roman" w:cs="Times New Roman"/>
        </w:rPr>
      </w:pPr>
      <w:r>
        <w:rPr>
          <w:rStyle w:val="a7"/>
          <w:rFonts w:ascii="Times New Roman" w:eastAsia="方正楷体_GBK" w:hAnsi="Times New Roman" w:cs="Times New Roman"/>
          <w:sz w:val="32"/>
          <w:szCs w:val="32"/>
        </w:rPr>
        <w:t>（五）政府性基金预算收支决算情况说明</w:t>
      </w:r>
    </w:p>
    <w:p w:rsidR="006B34BD" w:rsidRDefault="00CE1B7D" w:rsidP="00CE1B7D">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sidRPr="00CE1B7D">
        <w:rPr>
          <w:rFonts w:ascii="Times New Roman" w:eastAsia="方正仿宋_GBK" w:hAnsi="Times New Roman" w:cs="Times New Roman"/>
          <w:sz w:val="32"/>
          <w:szCs w:val="32"/>
        </w:rPr>
        <w:t>2019</w:t>
      </w:r>
      <w:r w:rsidRPr="00CE1B7D">
        <w:rPr>
          <w:rFonts w:ascii="Times New Roman" w:eastAsia="方正仿宋_GBK" w:hAnsi="Times New Roman" w:cs="Times New Roman"/>
          <w:sz w:val="32"/>
          <w:szCs w:val="32"/>
        </w:rPr>
        <w:t>年度政府性基金预算财政拨款年初结转结余</w:t>
      </w:r>
      <w:r w:rsidRPr="00CE1B7D">
        <w:rPr>
          <w:rFonts w:ascii="Times New Roman" w:eastAsia="方正仿宋_GBK" w:hAnsi="Times New Roman" w:cs="Times New Roman"/>
          <w:sz w:val="32"/>
          <w:szCs w:val="32"/>
        </w:rPr>
        <w:t>0.00</w:t>
      </w:r>
      <w:r w:rsidRPr="00CE1B7D">
        <w:rPr>
          <w:rFonts w:ascii="Times New Roman" w:eastAsia="方正仿宋_GBK" w:hAnsi="Times New Roman" w:cs="Times New Roman"/>
          <w:sz w:val="32"/>
          <w:szCs w:val="32"/>
        </w:rPr>
        <w:t>万元，年末结转结余</w:t>
      </w:r>
      <w:r w:rsidRPr="00CE1B7D">
        <w:rPr>
          <w:rFonts w:ascii="Times New Roman" w:eastAsia="方正仿宋_GBK" w:hAnsi="Times New Roman" w:cs="Times New Roman"/>
          <w:sz w:val="32"/>
          <w:szCs w:val="32"/>
        </w:rPr>
        <w:t>0.00</w:t>
      </w:r>
      <w:r w:rsidRPr="00CE1B7D">
        <w:rPr>
          <w:rFonts w:ascii="Times New Roman" w:eastAsia="方正仿宋_GBK" w:hAnsi="Times New Roman" w:cs="Times New Roman"/>
          <w:sz w:val="32"/>
          <w:szCs w:val="32"/>
        </w:rPr>
        <w:t>万元。本年收入</w:t>
      </w:r>
      <w:r w:rsidR="004A0A59">
        <w:rPr>
          <w:rFonts w:ascii="Times New Roman" w:eastAsia="方正仿宋_GBK" w:hAnsi="Times New Roman" w:cs="Times New Roman" w:hint="eastAsia"/>
          <w:sz w:val="32"/>
          <w:szCs w:val="32"/>
        </w:rPr>
        <w:t>8470.68</w:t>
      </w:r>
      <w:r w:rsidRPr="00CE1B7D">
        <w:rPr>
          <w:rFonts w:ascii="Times New Roman" w:eastAsia="方正仿宋_GBK" w:hAnsi="Times New Roman" w:cs="Times New Roman"/>
          <w:sz w:val="32"/>
          <w:szCs w:val="32"/>
        </w:rPr>
        <w:t>万元，较上年决算数增加</w:t>
      </w:r>
      <w:r w:rsidR="004A0A59">
        <w:rPr>
          <w:rFonts w:ascii="Times New Roman" w:eastAsia="方正仿宋_GBK" w:hAnsi="Times New Roman" w:cs="Times New Roman" w:hint="eastAsia"/>
          <w:sz w:val="32"/>
          <w:szCs w:val="32"/>
        </w:rPr>
        <w:t>8470.68</w:t>
      </w:r>
      <w:r w:rsidRPr="00CE1B7D">
        <w:rPr>
          <w:rFonts w:ascii="Times New Roman" w:eastAsia="方正仿宋_GBK" w:hAnsi="Times New Roman" w:cs="Times New Roman"/>
          <w:sz w:val="32"/>
          <w:szCs w:val="32"/>
        </w:rPr>
        <w:t>万元，增长</w:t>
      </w:r>
      <w:r w:rsidR="004A0A59">
        <w:rPr>
          <w:rFonts w:ascii="Times New Roman" w:eastAsia="方正仿宋_GBK" w:hAnsi="Times New Roman" w:cs="Times New Roman" w:hint="eastAsia"/>
          <w:sz w:val="32"/>
          <w:szCs w:val="32"/>
        </w:rPr>
        <w:t>100</w:t>
      </w:r>
      <w:r w:rsidRPr="00CE1B7D">
        <w:rPr>
          <w:rFonts w:ascii="Times New Roman" w:eastAsia="方正仿宋_GBK" w:hAnsi="Times New Roman" w:cs="Times New Roman"/>
          <w:sz w:val="32"/>
          <w:szCs w:val="32"/>
        </w:rPr>
        <w:t>%</w:t>
      </w:r>
      <w:r w:rsidRPr="00CE1B7D">
        <w:rPr>
          <w:rFonts w:ascii="Times New Roman" w:eastAsia="方正仿宋_GBK" w:hAnsi="Times New Roman" w:cs="Times New Roman"/>
          <w:sz w:val="32"/>
          <w:szCs w:val="32"/>
        </w:rPr>
        <w:t>，主要原因是</w:t>
      </w:r>
      <w:r w:rsidR="004A0A59">
        <w:rPr>
          <w:rFonts w:ascii="Times New Roman" w:eastAsia="方正仿宋_GBK" w:hAnsi="Times New Roman" w:cs="Times New Roman" w:hint="eastAsia"/>
          <w:sz w:val="32"/>
          <w:szCs w:val="32"/>
        </w:rPr>
        <w:t>“三所一队”迁建工程项目资金</w:t>
      </w:r>
      <w:r w:rsidR="004F6E30">
        <w:rPr>
          <w:rFonts w:ascii="Times New Roman" w:eastAsia="方正仿宋_GBK" w:hAnsi="Times New Roman" w:cs="Times New Roman"/>
          <w:sz w:val="32"/>
          <w:szCs w:val="32"/>
        </w:rPr>
        <w:t>。</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黑体_GBK" w:hAnsi="Times New Roman" w:cs="Times New Roman"/>
          <w:b/>
          <w:sz w:val="32"/>
          <w:szCs w:val="32"/>
        </w:rPr>
      </w:pPr>
      <w:r>
        <w:rPr>
          <w:rStyle w:val="a7"/>
          <w:rFonts w:ascii="Times New Roman" w:eastAsia="方正黑体_GBK" w:hAnsi="Times New Roman" w:cs="Times New Roman"/>
          <w:b w:val="0"/>
          <w:sz w:val="32"/>
          <w:szCs w:val="32"/>
        </w:rPr>
        <w:t>三、</w:t>
      </w:r>
      <w:r>
        <w:rPr>
          <w:rStyle w:val="a7"/>
          <w:rFonts w:ascii="Times New Roman" w:eastAsia="方正黑体_GBK" w:hAnsi="Times New Roman" w:cs="Times New Roman"/>
          <w:b w:val="0"/>
          <w:sz w:val="32"/>
          <w:szCs w:val="32"/>
        </w:rPr>
        <w:t>“</w:t>
      </w:r>
      <w:r>
        <w:rPr>
          <w:rStyle w:val="a7"/>
          <w:rFonts w:ascii="Times New Roman" w:eastAsia="方正黑体_GBK" w:hAnsi="Times New Roman" w:cs="Times New Roman"/>
          <w:b w:val="0"/>
          <w:sz w:val="32"/>
          <w:szCs w:val="32"/>
        </w:rPr>
        <w:t>三公</w:t>
      </w:r>
      <w:r>
        <w:rPr>
          <w:rStyle w:val="a7"/>
          <w:rFonts w:ascii="Times New Roman" w:eastAsia="方正黑体_GBK" w:hAnsi="Times New Roman" w:cs="Times New Roman"/>
          <w:b w:val="0"/>
          <w:sz w:val="32"/>
          <w:szCs w:val="32"/>
        </w:rPr>
        <w:t>”</w:t>
      </w:r>
      <w:r>
        <w:rPr>
          <w:rStyle w:val="a7"/>
          <w:rFonts w:ascii="Times New Roman" w:eastAsia="方正黑体_GBK" w:hAnsi="Times New Roman" w:cs="Times New Roman"/>
          <w:b w:val="0"/>
          <w:sz w:val="32"/>
          <w:szCs w:val="32"/>
        </w:rPr>
        <w:t>经费情况说明</w:t>
      </w:r>
    </w:p>
    <w:p w:rsidR="006B34BD" w:rsidRDefault="004F6E30">
      <w:pPr>
        <w:pStyle w:val="a6"/>
        <w:shd w:val="clear" w:color="auto" w:fill="FFFFFF"/>
        <w:spacing w:before="0" w:beforeAutospacing="0" w:after="0" w:afterAutospacing="0" w:line="594" w:lineRule="exact"/>
        <w:ind w:firstLineChars="200" w:firstLine="640"/>
        <w:rPr>
          <w:rFonts w:ascii="方正楷体_GBK" w:eastAsia="方正楷体_GBK" w:hAnsi="Times New Roman" w:cs="Times New Roman"/>
          <w:sz w:val="32"/>
          <w:szCs w:val="32"/>
        </w:rPr>
      </w:pPr>
      <w:r>
        <w:rPr>
          <w:rStyle w:val="a7"/>
          <w:rFonts w:ascii="方正楷体_GBK" w:eastAsia="方正楷体_GBK" w:cs="Times New Roman" w:hint="eastAsia"/>
          <w:sz w:val="32"/>
          <w:szCs w:val="32"/>
        </w:rPr>
        <w:t>（一）</w:t>
      </w:r>
      <w:r>
        <w:rPr>
          <w:rStyle w:val="a7"/>
          <w:rFonts w:ascii="方正楷体_GBK" w:eastAsia="方正楷体_GBK" w:hAnsi="Times New Roman" w:cs="Times New Roman" w:hint="eastAsia"/>
          <w:sz w:val="32"/>
          <w:szCs w:val="32"/>
        </w:rPr>
        <w:t>“</w:t>
      </w:r>
      <w:r>
        <w:rPr>
          <w:rStyle w:val="a7"/>
          <w:rFonts w:ascii="方正楷体_GBK" w:eastAsia="方正楷体_GBK" w:cs="Times New Roman" w:hint="eastAsia"/>
          <w:sz w:val="32"/>
          <w:szCs w:val="32"/>
        </w:rPr>
        <w:t>三公</w:t>
      </w:r>
      <w:r>
        <w:rPr>
          <w:rStyle w:val="a7"/>
          <w:rFonts w:ascii="方正楷体_GBK" w:eastAsia="方正楷体_GBK" w:hAnsi="Times New Roman" w:cs="Times New Roman" w:hint="eastAsia"/>
          <w:sz w:val="32"/>
          <w:szCs w:val="32"/>
        </w:rPr>
        <w:t>”</w:t>
      </w:r>
      <w:r>
        <w:rPr>
          <w:rStyle w:val="a7"/>
          <w:rFonts w:ascii="方正楷体_GBK" w:eastAsia="方正楷体_GBK" w:cs="Times New Roman" w:hint="eastAsia"/>
          <w:sz w:val="32"/>
          <w:szCs w:val="32"/>
        </w:rPr>
        <w:t>经费支出总体情况说明</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经费支出共计</w:t>
      </w:r>
      <w:r w:rsidR="00996226">
        <w:rPr>
          <w:rFonts w:ascii="Times New Roman" w:eastAsia="方正仿宋_GBK" w:hAnsi="Times New Roman" w:cs="Times New Roman" w:hint="eastAsia"/>
          <w:sz w:val="32"/>
          <w:szCs w:val="32"/>
        </w:rPr>
        <w:t>700.62</w:t>
      </w:r>
      <w:r>
        <w:rPr>
          <w:rFonts w:ascii="Times New Roman" w:eastAsia="方正仿宋_GBK" w:hAnsi="Times New Roman" w:cs="Times New Roman"/>
          <w:sz w:val="32"/>
          <w:szCs w:val="32"/>
        </w:rPr>
        <w:t>万元，较年初预算数减少</w:t>
      </w:r>
      <w:r w:rsidR="00996226">
        <w:rPr>
          <w:rFonts w:ascii="Times New Roman" w:eastAsia="方正仿宋_GBK" w:hAnsi="Times New Roman" w:cs="Times New Roman" w:hint="eastAsia"/>
          <w:sz w:val="32"/>
          <w:szCs w:val="32"/>
        </w:rPr>
        <w:t>367.38</w:t>
      </w:r>
      <w:r>
        <w:rPr>
          <w:rFonts w:ascii="Times New Roman" w:eastAsia="方正仿宋_GBK" w:hAnsi="Times New Roman" w:cs="Times New Roman"/>
          <w:sz w:val="32"/>
          <w:szCs w:val="32"/>
        </w:rPr>
        <w:t>万元，下降</w:t>
      </w:r>
      <w:r w:rsidR="00996226">
        <w:rPr>
          <w:rFonts w:ascii="Times New Roman" w:eastAsia="方正仿宋_GBK" w:hAnsi="Times New Roman" w:cs="Times New Roman" w:hint="eastAsia"/>
          <w:sz w:val="32"/>
          <w:szCs w:val="32"/>
        </w:rPr>
        <w:t>34.39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，主要原因是一是认真贯彻落实中央八项规定精神，从严控制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经费，全年实际支出较预算有所下降。二是严格落实公车使用规定，</w:t>
      </w:r>
      <w:r>
        <w:rPr>
          <w:rFonts w:ascii="Times New Roman" w:eastAsia="方正仿宋_GBK" w:hAnsi="Times New Roman" w:cs="Times New Roman" w:hint="eastAsia"/>
          <w:sz w:val="32"/>
          <w:szCs w:val="32"/>
        </w:rPr>
        <w:t>控制</w:t>
      </w:r>
      <w:r>
        <w:rPr>
          <w:rFonts w:ascii="Times New Roman" w:eastAsia="方正仿宋_GBK" w:hAnsi="Times New Roman" w:cs="Times New Roman"/>
          <w:sz w:val="32"/>
          <w:szCs w:val="32"/>
        </w:rPr>
        <w:t>公车运行维护成本。三是强化公务接待支出管理，严格遵守公务接待开支范围和开支标准，严格控制陪餐人数。四是进一步规范因公出国（境）活动，今年未安排人员出国出访。</w:t>
      </w:r>
      <w:r w:rsidR="00996226">
        <w:rPr>
          <w:rFonts w:ascii="Times New Roman" w:eastAsia="方正仿宋_GBK" w:hAnsi="Times New Roman" w:cs="Times New Roman" w:hint="eastAsia"/>
          <w:sz w:val="32"/>
          <w:szCs w:val="32"/>
        </w:rPr>
        <w:t>公务接待费</w:t>
      </w:r>
      <w:r>
        <w:rPr>
          <w:rFonts w:ascii="Times New Roman" w:eastAsia="方正仿宋_GBK" w:hAnsi="Times New Roman" w:cs="Times New Roman"/>
          <w:sz w:val="32"/>
          <w:szCs w:val="32"/>
        </w:rPr>
        <w:t>较上年支出数</w:t>
      </w:r>
      <w:r w:rsidR="00996226">
        <w:rPr>
          <w:rFonts w:ascii="Times New Roman" w:eastAsia="方正仿宋_GBK" w:hAnsi="Times New Roman" w:cs="Times New Roman" w:hint="eastAsia"/>
          <w:sz w:val="32"/>
          <w:szCs w:val="32"/>
        </w:rPr>
        <w:t>减少</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9.98%</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机构改革后承担了</w:t>
      </w:r>
      <w:r>
        <w:rPr>
          <w:rFonts w:ascii="Times New Roman" w:eastAsia="方正仿宋_GBK" w:hAnsi="Times New Roman" w:cs="Times New Roman"/>
          <w:sz w:val="32"/>
          <w:szCs w:val="32"/>
        </w:rPr>
        <w:t>区委重大</w:t>
      </w:r>
      <w:r>
        <w:rPr>
          <w:rFonts w:ascii="Times New Roman" w:eastAsia="方正仿宋_GBK" w:hAnsi="Times New Roman" w:cs="Times New Roman"/>
          <w:sz w:val="32"/>
          <w:szCs w:val="32"/>
        </w:rPr>
        <w:lastRenderedPageBreak/>
        <w:t>活动的组织协调和公务接洽工作</w:t>
      </w:r>
      <w:r>
        <w:rPr>
          <w:rFonts w:ascii="Times New Roman" w:eastAsia="方正仿宋_GBK" w:hAnsi="Times New Roman" w:cs="Times New Roman" w:hint="eastAsia"/>
          <w:sz w:val="32"/>
          <w:szCs w:val="32"/>
        </w:rPr>
        <w:t>和</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年加大招商引资力度，接待费用有所增加；公务车辆因年久车况较差，车辆维修费用增加</w:t>
      </w:r>
      <w:r>
        <w:rPr>
          <w:rFonts w:ascii="Times New Roman" w:eastAsia="方正仿宋_GBK" w:hAnsi="Times New Roman" w:cs="Times New Roman"/>
          <w:sz w:val="32"/>
          <w:szCs w:val="32"/>
        </w:rPr>
        <w:t>。</w:t>
      </w:r>
    </w:p>
    <w:p w:rsidR="006B34BD" w:rsidRDefault="004F6E30">
      <w:pPr>
        <w:pStyle w:val="a6"/>
        <w:shd w:val="clear" w:color="auto" w:fill="FFFFFF"/>
        <w:spacing w:before="0" w:beforeAutospacing="0" w:after="0" w:afterAutospacing="0" w:line="594" w:lineRule="exact"/>
        <w:ind w:firstLineChars="200" w:firstLine="640"/>
        <w:rPr>
          <w:rFonts w:ascii="方正楷体_GBK" w:eastAsia="方正楷体_GBK" w:hAnsi="Times New Roman" w:cs="Times New Roman"/>
          <w:sz w:val="32"/>
          <w:szCs w:val="32"/>
        </w:rPr>
      </w:pPr>
      <w:r>
        <w:rPr>
          <w:rStyle w:val="a7"/>
          <w:rFonts w:ascii="方正楷体_GBK" w:eastAsia="方正楷体_GBK" w:hAnsi="Times New Roman" w:cs="Times New Roman" w:hint="eastAsia"/>
          <w:sz w:val="32"/>
          <w:szCs w:val="32"/>
        </w:rPr>
        <w:t>（二）“三公”经费分项支出情况</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年度本部门因公出国（境）费用</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万元。费用支出较年初预算数增加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。较上年支出数增加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公务车购置费</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万元。费用支出较年初预算数增加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。较上年支出数增加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公务车运行维护费</w:t>
      </w:r>
      <w:r>
        <w:rPr>
          <w:rFonts w:ascii="Times New Roman" w:eastAsia="方正仿宋_GBK" w:hAnsi="Times New Roman" w:cs="Times New Roman"/>
          <w:sz w:val="32"/>
          <w:szCs w:val="32"/>
        </w:rPr>
        <w:t>46.61</w:t>
      </w:r>
      <w:r>
        <w:rPr>
          <w:rFonts w:ascii="Times New Roman" w:eastAsia="方正仿宋_GBK" w:hAnsi="Times New Roman" w:cs="Times New Roman"/>
          <w:sz w:val="32"/>
          <w:szCs w:val="32"/>
        </w:rPr>
        <w:t>万元，主要用于因公出行、业务检查</w:t>
      </w:r>
      <w:r>
        <w:rPr>
          <w:rFonts w:ascii="Times New Roman" w:eastAsia="方正仿宋_GBK" w:hAnsi="Times New Roman" w:cs="Times New Roman" w:hint="eastAsia"/>
          <w:sz w:val="32"/>
          <w:szCs w:val="32"/>
        </w:rPr>
        <w:t>、督查</w:t>
      </w:r>
      <w:r>
        <w:rPr>
          <w:rFonts w:ascii="Times New Roman" w:eastAsia="方正仿宋_GBK" w:hAnsi="Times New Roman" w:cs="Times New Roman"/>
          <w:sz w:val="32"/>
          <w:szCs w:val="32"/>
        </w:rPr>
        <w:t>等工作所需车辆的燃料费、维修</w:t>
      </w:r>
      <w:r>
        <w:rPr>
          <w:rFonts w:ascii="Times New Roman" w:eastAsia="方正仿宋_GBK" w:hAnsi="Times New Roman" w:cs="Times New Roman" w:hint="eastAsia"/>
          <w:sz w:val="32"/>
          <w:szCs w:val="32"/>
        </w:rPr>
        <w:t>维护</w:t>
      </w:r>
      <w:r>
        <w:rPr>
          <w:rFonts w:ascii="Times New Roman" w:eastAsia="方正仿宋_GBK" w:hAnsi="Times New Roman" w:cs="Times New Roman"/>
          <w:sz w:val="32"/>
          <w:szCs w:val="32"/>
        </w:rPr>
        <w:t>费、过桥过路费、保险费</w:t>
      </w:r>
      <w:r>
        <w:rPr>
          <w:rFonts w:ascii="Times New Roman" w:eastAsia="方正仿宋_GBK" w:hAnsi="Times New Roman" w:cs="Times New Roman" w:hint="eastAsia"/>
          <w:sz w:val="32"/>
          <w:szCs w:val="32"/>
        </w:rPr>
        <w:t>、车辆年审费用</w:t>
      </w:r>
      <w:r>
        <w:rPr>
          <w:rFonts w:ascii="Times New Roman" w:eastAsia="方正仿宋_GBK" w:hAnsi="Times New Roman" w:cs="Times New Roman"/>
          <w:sz w:val="32"/>
          <w:szCs w:val="32"/>
        </w:rPr>
        <w:t>等。费用支出较年初预算数减少</w:t>
      </w:r>
      <w:r>
        <w:rPr>
          <w:rFonts w:ascii="Times New Roman" w:eastAsia="方正仿宋_GBK" w:hAnsi="Times New Roman" w:cs="Times New Roman"/>
          <w:sz w:val="32"/>
          <w:szCs w:val="32"/>
        </w:rPr>
        <w:t>0.39</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0.83%</w:t>
      </w:r>
      <w:r>
        <w:rPr>
          <w:rFonts w:ascii="Times New Roman" w:eastAsia="方正仿宋_GBK" w:hAnsi="Times New Roman" w:cs="Times New Roman"/>
          <w:sz w:val="32"/>
          <w:szCs w:val="32"/>
        </w:rPr>
        <w:t>，主要原因是严格落实公车使用规定，</w:t>
      </w:r>
      <w:r>
        <w:rPr>
          <w:rFonts w:ascii="Times New Roman" w:eastAsia="方正仿宋_GBK" w:hAnsi="Times New Roman" w:cs="Times New Roman" w:hint="eastAsia"/>
          <w:sz w:val="32"/>
          <w:szCs w:val="32"/>
        </w:rPr>
        <w:t>控制</w:t>
      </w:r>
      <w:r>
        <w:rPr>
          <w:rFonts w:ascii="Times New Roman" w:eastAsia="方正仿宋_GBK" w:hAnsi="Times New Roman" w:cs="Times New Roman"/>
          <w:sz w:val="32"/>
          <w:szCs w:val="32"/>
        </w:rPr>
        <w:t>公车运行维护成本。较上年支出数增加</w:t>
      </w:r>
      <w:r>
        <w:rPr>
          <w:rFonts w:ascii="Times New Roman" w:eastAsia="方正仿宋_GBK" w:hAnsi="Times New Roman" w:cs="Times New Roman"/>
          <w:sz w:val="32"/>
          <w:szCs w:val="32"/>
        </w:rPr>
        <w:t>3.54</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8.22%</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车辆年久，车况较差，维修保养费增加。</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公务接待费</w:t>
      </w:r>
      <w:r>
        <w:rPr>
          <w:rFonts w:ascii="Times New Roman" w:eastAsia="方正仿宋_GBK" w:hAnsi="Times New Roman" w:cs="Times New Roman"/>
          <w:sz w:val="32"/>
          <w:szCs w:val="32"/>
        </w:rPr>
        <w:t>11.44</w:t>
      </w:r>
      <w:r>
        <w:rPr>
          <w:rFonts w:ascii="Times New Roman" w:eastAsia="方正仿宋_GBK" w:hAnsi="Times New Roman" w:cs="Times New Roman"/>
          <w:sz w:val="32"/>
          <w:szCs w:val="32"/>
        </w:rPr>
        <w:t>万元，主要用于</w:t>
      </w:r>
      <w:r>
        <w:rPr>
          <w:rFonts w:ascii="Times New Roman" w:eastAsia="方正仿宋_GBK" w:hAnsi="Times New Roman" w:cs="Times New Roman" w:hint="eastAsia"/>
          <w:sz w:val="32"/>
          <w:szCs w:val="32"/>
        </w:rPr>
        <w:t>区委大型活动或者会议接待支出，市级以上部门或其他区县</w:t>
      </w:r>
      <w:r>
        <w:rPr>
          <w:rFonts w:ascii="Times New Roman" w:eastAsia="方正仿宋_GBK" w:hAnsi="Times New Roman" w:cs="Times New Roman"/>
          <w:sz w:val="32"/>
          <w:szCs w:val="32"/>
        </w:rPr>
        <w:t>到我单位学习调研</w:t>
      </w:r>
      <w:r>
        <w:rPr>
          <w:rFonts w:ascii="Times New Roman" w:eastAsia="方正仿宋_GBK" w:hAnsi="Times New Roman" w:cs="Times New Roman" w:hint="eastAsia"/>
          <w:sz w:val="32"/>
          <w:szCs w:val="32"/>
        </w:rPr>
        <w:t>接待支出</w:t>
      </w:r>
      <w:r>
        <w:rPr>
          <w:rFonts w:ascii="Times New Roman" w:eastAsia="方正仿宋_GBK" w:hAnsi="Times New Roman" w:cs="Times New Roman"/>
          <w:sz w:val="32"/>
          <w:szCs w:val="32"/>
        </w:rPr>
        <w:t>，接受相关部门检查指导工作发生的接待支出</w:t>
      </w:r>
      <w:r>
        <w:rPr>
          <w:rFonts w:ascii="Times New Roman" w:eastAsia="方正仿宋_GBK" w:hAnsi="Times New Roman" w:cs="Times New Roman" w:hint="eastAsia"/>
          <w:sz w:val="32"/>
          <w:szCs w:val="32"/>
        </w:rPr>
        <w:t>、招商引资接待支出等</w:t>
      </w:r>
      <w:r>
        <w:rPr>
          <w:rFonts w:ascii="Times New Roman" w:eastAsia="方正仿宋_GBK" w:hAnsi="Times New Roman" w:cs="Times New Roman"/>
          <w:sz w:val="32"/>
          <w:szCs w:val="32"/>
        </w:rPr>
        <w:t>。费用支出较年初预算数减少</w:t>
      </w:r>
      <w:r>
        <w:rPr>
          <w:rFonts w:ascii="Times New Roman" w:eastAsia="方正仿宋_GBK" w:hAnsi="Times New Roman" w:cs="Times New Roman"/>
          <w:sz w:val="32"/>
          <w:szCs w:val="32"/>
        </w:rPr>
        <w:t>8.56</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42.80%</w:t>
      </w:r>
      <w:r>
        <w:rPr>
          <w:rFonts w:ascii="Times New Roman" w:eastAsia="方正仿宋_GBK" w:hAnsi="Times New Roman" w:cs="Times New Roman"/>
          <w:sz w:val="32"/>
          <w:szCs w:val="32"/>
        </w:rPr>
        <w:t>，主要原因是强化公务接待支出管理，严格遵守公务接待开支范围和开支标准，严格控制陪餐人数。较上年支出数增加</w:t>
      </w:r>
      <w:r>
        <w:rPr>
          <w:rFonts w:ascii="Times New Roman" w:eastAsia="方正仿宋_GBK" w:hAnsi="Times New Roman" w:cs="Times New Roman"/>
          <w:sz w:val="32"/>
          <w:szCs w:val="32"/>
        </w:rPr>
        <w:t>1.72</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17.70%</w:t>
      </w:r>
      <w:r>
        <w:rPr>
          <w:rFonts w:ascii="Times New Roman" w:eastAsia="方正仿宋_GBK" w:hAnsi="Times New Roman" w:cs="Times New Roman"/>
          <w:sz w:val="32"/>
          <w:szCs w:val="32"/>
        </w:rPr>
        <w:t>，主要原</w:t>
      </w:r>
      <w:r>
        <w:rPr>
          <w:rFonts w:ascii="Times New Roman" w:eastAsia="方正仿宋_GBK" w:hAnsi="Times New Roman" w:cs="Times New Roman"/>
          <w:sz w:val="32"/>
          <w:szCs w:val="32"/>
        </w:rPr>
        <w:lastRenderedPageBreak/>
        <w:t>因是</w:t>
      </w:r>
      <w:r>
        <w:rPr>
          <w:rFonts w:ascii="Times New Roman" w:eastAsia="方正仿宋_GBK" w:hAnsi="Times New Roman" w:cs="Times New Roman" w:hint="eastAsia"/>
          <w:sz w:val="32"/>
          <w:szCs w:val="32"/>
        </w:rPr>
        <w:t>机构改革后承担了</w:t>
      </w:r>
      <w:r>
        <w:rPr>
          <w:rFonts w:ascii="Times New Roman" w:eastAsia="方正仿宋_GBK" w:hAnsi="Times New Roman" w:cs="Times New Roman"/>
          <w:sz w:val="32"/>
          <w:szCs w:val="32"/>
        </w:rPr>
        <w:t>区委重大活动的组织协调和公务接洽工作</w:t>
      </w:r>
      <w:r>
        <w:rPr>
          <w:rFonts w:ascii="Times New Roman" w:eastAsia="方正仿宋_GBK" w:hAnsi="Times New Roman" w:cs="Times New Roman" w:hint="eastAsia"/>
          <w:sz w:val="32"/>
          <w:szCs w:val="32"/>
        </w:rPr>
        <w:t>和</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年加大招商引资力度，接待费用有所增加</w:t>
      </w:r>
      <w:r>
        <w:rPr>
          <w:rFonts w:ascii="Times New Roman" w:eastAsia="方正仿宋_GBK" w:hAnsi="Times New Roman" w:cs="Times New Roman"/>
          <w:sz w:val="32"/>
          <w:szCs w:val="32"/>
        </w:rPr>
        <w:t>。</w:t>
      </w:r>
    </w:p>
    <w:p w:rsidR="006B34BD" w:rsidRDefault="004F6E30">
      <w:pPr>
        <w:pStyle w:val="a6"/>
        <w:shd w:val="clear" w:color="auto" w:fill="FFFFFF"/>
        <w:spacing w:before="0" w:beforeAutospacing="0" w:after="0" w:afterAutospacing="0" w:line="594" w:lineRule="exact"/>
        <w:ind w:firstLineChars="200" w:firstLine="640"/>
        <w:rPr>
          <w:rFonts w:ascii="方正楷体_GBK" w:eastAsia="方正楷体_GBK" w:hAnsi="Times New Roman" w:cs="Times New Roman"/>
          <w:sz w:val="32"/>
          <w:szCs w:val="32"/>
        </w:rPr>
      </w:pPr>
      <w:r>
        <w:rPr>
          <w:rStyle w:val="a7"/>
          <w:rFonts w:ascii="方正楷体_GBK" w:eastAsia="方正楷体_GBK" w:hAnsi="Times New Roman" w:cs="Times New Roman" w:hint="eastAsia"/>
          <w:sz w:val="32"/>
          <w:szCs w:val="32"/>
        </w:rPr>
        <w:t>（三）“三公”经费实物量情况</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年度本部门因公出国（境）共计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个团组，</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人；公务用车购置</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辆，公务车保有量为</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辆；国内公务接待</w:t>
      </w:r>
      <w:r>
        <w:rPr>
          <w:rFonts w:ascii="Times New Roman" w:eastAsia="方正仿宋_GBK" w:hAnsi="Times New Roman" w:cs="Times New Roman"/>
          <w:sz w:val="32"/>
          <w:szCs w:val="32"/>
        </w:rPr>
        <w:t>92</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1,200</w:t>
      </w:r>
      <w:r>
        <w:rPr>
          <w:rFonts w:ascii="Times New Roman" w:eastAsia="方正仿宋_GBK" w:hAnsi="Times New Roman" w:cs="Times New Roman"/>
          <w:sz w:val="32"/>
          <w:szCs w:val="32"/>
        </w:rPr>
        <w:t>人，其中：国内外事接待</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人；国（境）外公务接待</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年本部门人均接待费</w:t>
      </w:r>
      <w:r>
        <w:rPr>
          <w:rFonts w:ascii="Times New Roman" w:eastAsia="方正仿宋_GBK" w:hAnsi="Times New Roman" w:cs="Times New Roman"/>
          <w:sz w:val="32"/>
          <w:szCs w:val="32"/>
        </w:rPr>
        <w:t>95.35</w:t>
      </w:r>
      <w:r>
        <w:rPr>
          <w:rFonts w:ascii="Times New Roman" w:eastAsia="方正仿宋_GBK" w:hAnsi="Times New Roman" w:cs="Times New Roman"/>
          <w:sz w:val="32"/>
          <w:szCs w:val="32"/>
        </w:rPr>
        <w:t>元，车均购置费</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万元，车均维护费</w:t>
      </w:r>
      <w:r>
        <w:rPr>
          <w:rFonts w:ascii="Times New Roman" w:eastAsia="方正仿宋_GBK" w:hAnsi="Times New Roman" w:cs="Times New Roman"/>
          <w:sz w:val="32"/>
          <w:szCs w:val="32"/>
        </w:rPr>
        <w:t>5.83</w:t>
      </w:r>
      <w:r>
        <w:rPr>
          <w:rFonts w:ascii="Times New Roman" w:eastAsia="方正仿宋_GBK" w:hAnsi="Times New Roman" w:cs="Times New Roman"/>
          <w:sz w:val="32"/>
          <w:szCs w:val="32"/>
        </w:rPr>
        <w:t>万元。</w:t>
      </w:r>
    </w:p>
    <w:p w:rsidR="006B34BD" w:rsidRDefault="004F6E30">
      <w:pPr>
        <w:pStyle w:val="a6"/>
        <w:shd w:val="clear" w:color="auto" w:fill="FFFFFF"/>
        <w:spacing w:before="0" w:beforeAutospacing="0" w:after="0" w:afterAutospacing="0" w:line="594" w:lineRule="exact"/>
        <w:ind w:firstLineChars="200" w:firstLine="640"/>
        <w:rPr>
          <w:rFonts w:ascii="方正黑体_GBK" w:eastAsia="方正黑体_GBK" w:hAnsi="Times New Roman" w:cs="Times New Roman"/>
          <w:b/>
          <w:sz w:val="32"/>
          <w:szCs w:val="32"/>
        </w:rPr>
      </w:pPr>
      <w:r>
        <w:rPr>
          <w:rStyle w:val="a7"/>
          <w:rFonts w:ascii="方正黑体_GBK" w:eastAsia="方正黑体_GBK" w:cs="Times New Roman" w:hint="eastAsia"/>
          <w:b w:val="0"/>
          <w:sz w:val="32"/>
          <w:szCs w:val="32"/>
        </w:rPr>
        <w:t>四、其他需要说明的事项</w:t>
      </w:r>
    </w:p>
    <w:p w:rsidR="006B34BD" w:rsidRDefault="004F6E30">
      <w:pPr>
        <w:pStyle w:val="a6"/>
        <w:shd w:val="clear" w:color="auto" w:fill="FFFFFF"/>
        <w:spacing w:before="0" w:beforeAutospacing="0" w:after="0" w:afterAutospacing="0" w:line="594" w:lineRule="exact"/>
        <w:ind w:firstLineChars="200" w:firstLine="640"/>
        <w:rPr>
          <w:rFonts w:ascii="Times New Roman" w:hAnsi="Times New Roman" w:cs="Times New Roman"/>
          <w:sz w:val="32"/>
          <w:szCs w:val="32"/>
        </w:rPr>
      </w:pPr>
      <w:r>
        <w:rPr>
          <w:rStyle w:val="a7"/>
          <w:rFonts w:ascii="方正楷体_GBK" w:eastAsia="方正楷体_GBK" w:cs="Times New Roman" w:hint="eastAsia"/>
          <w:sz w:val="32"/>
          <w:szCs w:val="32"/>
        </w:rPr>
        <w:t>（一）机关运行经费情况说明。</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年度本部门机关运行经费支出</w:t>
      </w:r>
      <w:r>
        <w:rPr>
          <w:rFonts w:ascii="Times New Roman" w:eastAsia="方正仿宋_GBK" w:hAnsi="Times New Roman" w:cs="Times New Roman"/>
          <w:sz w:val="32"/>
          <w:szCs w:val="32"/>
        </w:rPr>
        <w:t>246.12</w:t>
      </w:r>
      <w:r>
        <w:rPr>
          <w:rFonts w:ascii="Times New Roman" w:eastAsia="方正仿宋_GBK" w:hAnsi="Times New Roman" w:cs="Times New Roman"/>
          <w:sz w:val="32"/>
          <w:szCs w:val="32"/>
        </w:rPr>
        <w:t>万元，机关运行经费主要用于开支办公费、差旅费、会议费、水电费、邮电费、维修费、公务接待费、劳务费、公务车运行维护费</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。机关运行经费较上年决算数增加</w:t>
      </w:r>
      <w:r>
        <w:rPr>
          <w:rFonts w:ascii="Times New Roman" w:eastAsia="方正仿宋_GBK" w:hAnsi="Times New Roman" w:cs="Times New Roman"/>
          <w:sz w:val="32"/>
          <w:szCs w:val="32"/>
        </w:rPr>
        <w:t>18.12</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7.95%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因机构改革职能职责变化导致机关运行经费增加</w:t>
      </w:r>
      <w:r>
        <w:rPr>
          <w:rFonts w:ascii="Times New Roman" w:eastAsia="方正仿宋_GBK" w:hAnsi="Times New Roman" w:cs="Times New Roman"/>
          <w:sz w:val="32"/>
          <w:szCs w:val="32"/>
        </w:rPr>
        <w:t>。</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此外，本年度一般公共预算财政拨款会议费支出</w:t>
      </w:r>
      <w:r>
        <w:rPr>
          <w:rFonts w:ascii="Times New Roman" w:eastAsia="方正仿宋_GBK" w:hAnsi="Times New Roman" w:cs="Times New Roman"/>
          <w:sz w:val="32"/>
          <w:szCs w:val="32"/>
        </w:rPr>
        <w:t>4.43</w:t>
      </w:r>
      <w:r>
        <w:rPr>
          <w:rFonts w:ascii="Times New Roman" w:eastAsia="方正仿宋_GBK" w:hAnsi="Times New Roman" w:cs="Times New Roman"/>
          <w:sz w:val="32"/>
          <w:szCs w:val="32"/>
        </w:rPr>
        <w:t>万元，较上年决算数减少</w:t>
      </w:r>
      <w:r>
        <w:rPr>
          <w:rFonts w:ascii="Times New Roman" w:eastAsia="方正仿宋_GBK" w:hAnsi="Times New Roman" w:cs="Times New Roman"/>
          <w:sz w:val="32"/>
          <w:szCs w:val="32"/>
        </w:rPr>
        <w:t>16.08</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78.40%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年大型会议减少</w:t>
      </w:r>
      <w:r>
        <w:rPr>
          <w:rFonts w:ascii="Times New Roman" w:eastAsia="方正仿宋_GBK" w:hAnsi="Times New Roman" w:cs="Times New Roman"/>
          <w:sz w:val="32"/>
          <w:szCs w:val="32"/>
        </w:rPr>
        <w:t>。本年度一般公共预算财政拨款培训费支出</w:t>
      </w:r>
      <w:r>
        <w:rPr>
          <w:rFonts w:ascii="Times New Roman" w:eastAsia="方正仿宋_GBK" w:hAnsi="Times New Roman" w:cs="Times New Roman"/>
          <w:sz w:val="32"/>
          <w:szCs w:val="32"/>
        </w:rPr>
        <w:t>2.42</w:t>
      </w:r>
      <w:r>
        <w:rPr>
          <w:rFonts w:ascii="Times New Roman" w:eastAsia="方正仿宋_GBK" w:hAnsi="Times New Roman" w:cs="Times New Roman"/>
          <w:sz w:val="32"/>
          <w:szCs w:val="32"/>
        </w:rPr>
        <w:t>万元，较上年决算数减少</w:t>
      </w:r>
      <w:r>
        <w:rPr>
          <w:rFonts w:ascii="Times New Roman" w:eastAsia="方正仿宋_GBK" w:hAnsi="Times New Roman" w:cs="Times New Roman"/>
          <w:sz w:val="32"/>
          <w:szCs w:val="32"/>
        </w:rPr>
        <w:t>15.72</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86.66%</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年未召开大型的业务培训会议</w:t>
      </w:r>
      <w:r>
        <w:rPr>
          <w:rFonts w:ascii="Times New Roman" w:eastAsia="方正仿宋_GBK" w:hAnsi="Times New Roman" w:cs="Times New Roman"/>
          <w:sz w:val="32"/>
          <w:szCs w:val="32"/>
        </w:rPr>
        <w:t>。</w:t>
      </w:r>
    </w:p>
    <w:p w:rsidR="006B34BD" w:rsidRDefault="004F6E30">
      <w:pPr>
        <w:pStyle w:val="a6"/>
        <w:shd w:val="clear" w:color="auto" w:fill="FFFFFF"/>
        <w:spacing w:before="0" w:beforeAutospacing="0" w:after="0" w:afterAutospacing="0" w:line="594" w:lineRule="exact"/>
        <w:ind w:firstLineChars="200" w:firstLine="640"/>
        <w:rPr>
          <w:rFonts w:ascii="Times New Roman" w:hAnsi="Times New Roman" w:cs="Times New Roman"/>
          <w:sz w:val="32"/>
          <w:szCs w:val="32"/>
        </w:rPr>
      </w:pPr>
      <w:r>
        <w:rPr>
          <w:rStyle w:val="a7"/>
          <w:rFonts w:ascii="方正楷体_GBK" w:eastAsia="方正楷体_GBK" w:cs="Times New Roman" w:hint="eastAsia"/>
          <w:sz w:val="32"/>
          <w:szCs w:val="32"/>
        </w:rPr>
        <w:t>（二）国有资产占用情况说明。</w:t>
      </w:r>
      <w:r>
        <w:rPr>
          <w:rFonts w:ascii="Times New Roman" w:eastAsia="方正仿宋_GBK" w:hAnsi="Times New Roman" w:cs="Times New Roman"/>
          <w:sz w:val="32"/>
          <w:szCs w:val="32"/>
        </w:rPr>
        <w:t>截至</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日，本部门共有车辆</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辆，其中，副部（省）级及以上领导用车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辆、主要领导干部用车</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辆、机要通信用车</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辆、应急保障用车</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辆、执法执勤</w:t>
      </w:r>
      <w:r>
        <w:rPr>
          <w:rFonts w:ascii="Times New Roman" w:eastAsia="方正仿宋_GBK" w:hAnsi="Times New Roman" w:cs="Times New Roman"/>
          <w:sz w:val="32"/>
          <w:szCs w:val="32"/>
        </w:rPr>
        <w:lastRenderedPageBreak/>
        <w:t>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辆，特种专业技术用车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辆，离退休干部用车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辆，其他用车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辆。单价</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万元（含）以上通用设备</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台（套），单价</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万元（含）以上专用设备</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台（套）。</w:t>
      </w:r>
    </w:p>
    <w:p w:rsidR="006B34BD" w:rsidRDefault="004F6E30">
      <w:pPr>
        <w:pStyle w:val="a6"/>
        <w:shd w:val="clear" w:color="auto" w:fill="FFFFFF"/>
        <w:spacing w:before="0" w:beforeAutospacing="0" w:after="0" w:afterAutospacing="0" w:line="594" w:lineRule="exact"/>
        <w:ind w:firstLineChars="200" w:firstLine="640"/>
        <w:rPr>
          <w:rFonts w:ascii="Times New Roman" w:hAnsi="Times New Roman" w:cs="Times New Roman"/>
          <w:sz w:val="32"/>
          <w:szCs w:val="32"/>
        </w:rPr>
      </w:pPr>
      <w:r>
        <w:rPr>
          <w:rStyle w:val="a7"/>
          <w:rFonts w:ascii="方正楷体_GBK" w:eastAsia="方正楷体_GBK" w:cs="Times New Roman"/>
          <w:sz w:val="32"/>
          <w:szCs w:val="32"/>
        </w:rPr>
        <w:t>（三）政府采购支出情况说明。</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年度本部门政府采购支出总额</w:t>
      </w:r>
      <w:r>
        <w:rPr>
          <w:rFonts w:ascii="Times New Roman" w:eastAsia="方正仿宋_GBK" w:hAnsi="Times New Roman" w:cs="Times New Roman"/>
          <w:sz w:val="32"/>
          <w:szCs w:val="32"/>
        </w:rPr>
        <w:t>20.91</w:t>
      </w:r>
      <w:r>
        <w:rPr>
          <w:rFonts w:ascii="Times New Roman" w:eastAsia="方正仿宋_GBK" w:hAnsi="Times New Roman" w:cs="Times New Roman"/>
          <w:sz w:val="32"/>
          <w:szCs w:val="32"/>
        </w:rPr>
        <w:t>万元，其中：政府采购货物支出</w:t>
      </w:r>
      <w:r>
        <w:rPr>
          <w:rFonts w:ascii="Times New Roman" w:eastAsia="方正仿宋_GBK" w:hAnsi="Times New Roman" w:cs="Times New Roman"/>
          <w:sz w:val="32"/>
          <w:szCs w:val="32"/>
        </w:rPr>
        <w:t>17.64</w:t>
      </w:r>
      <w:r>
        <w:rPr>
          <w:rFonts w:ascii="Times New Roman" w:eastAsia="方正仿宋_GBK" w:hAnsi="Times New Roman" w:cs="Times New Roman"/>
          <w:sz w:val="32"/>
          <w:szCs w:val="32"/>
        </w:rPr>
        <w:t>万元、政府采购工程支出</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万元、政府采购服务支出</w:t>
      </w:r>
      <w:r>
        <w:rPr>
          <w:rFonts w:ascii="Times New Roman" w:eastAsia="方正仿宋_GBK" w:hAnsi="Times New Roman" w:cs="Times New Roman"/>
          <w:sz w:val="32"/>
          <w:szCs w:val="32"/>
        </w:rPr>
        <w:t>3.28</w:t>
      </w:r>
      <w:r>
        <w:rPr>
          <w:rFonts w:ascii="Times New Roman" w:eastAsia="方正仿宋_GBK" w:hAnsi="Times New Roman" w:cs="Times New Roman"/>
          <w:sz w:val="32"/>
          <w:szCs w:val="32"/>
        </w:rPr>
        <w:t>万元。授予中小企业合同金额</w:t>
      </w:r>
      <w:r>
        <w:rPr>
          <w:rFonts w:ascii="Times New Roman" w:eastAsia="方正仿宋_GBK" w:hAnsi="Times New Roman" w:cs="Times New Roman"/>
          <w:sz w:val="32"/>
          <w:szCs w:val="32"/>
        </w:rPr>
        <w:t>20.91</w:t>
      </w:r>
      <w:r>
        <w:rPr>
          <w:rFonts w:ascii="Times New Roman" w:eastAsia="方正仿宋_GBK" w:hAnsi="Times New Roman" w:cs="Times New Roman"/>
          <w:sz w:val="32"/>
          <w:szCs w:val="32"/>
        </w:rPr>
        <w:t>万元，占政府采购支出总额的</w:t>
      </w:r>
      <w:r>
        <w:rPr>
          <w:rFonts w:ascii="Times New Roman" w:eastAsia="方正仿宋_GBK" w:hAnsi="Times New Roman" w:cs="Times New Roman"/>
          <w:sz w:val="32"/>
          <w:szCs w:val="32"/>
        </w:rPr>
        <w:t>100.00%</w:t>
      </w:r>
      <w:r>
        <w:rPr>
          <w:rFonts w:ascii="Times New Roman" w:eastAsia="方正仿宋_GBK" w:hAnsi="Times New Roman" w:cs="Times New Roman"/>
          <w:sz w:val="32"/>
          <w:szCs w:val="32"/>
        </w:rPr>
        <w:t>，其中：授予小微企业合同金额</w:t>
      </w:r>
      <w:r>
        <w:rPr>
          <w:rFonts w:ascii="Times New Roman" w:eastAsia="方正仿宋_GBK" w:hAnsi="Times New Roman" w:cs="Times New Roman"/>
          <w:sz w:val="32"/>
          <w:szCs w:val="32"/>
        </w:rPr>
        <w:t>20.91</w:t>
      </w:r>
      <w:r>
        <w:rPr>
          <w:rFonts w:ascii="Times New Roman" w:eastAsia="方正仿宋_GBK" w:hAnsi="Times New Roman" w:cs="Times New Roman"/>
          <w:sz w:val="32"/>
          <w:szCs w:val="32"/>
        </w:rPr>
        <w:t>万元，占政府采购支出总额的</w:t>
      </w:r>
      <w:r>
        <w:rPr>
          <w:rFonts w:ascii="Times New Roman" w:eastAsia="方正仿宋_GBK" w:hAnsi="Times New Roman" w:cs="Times New Roman"/>
          <w:sz w:val="32"/>
          <w:szCs w:val="32"/>
        </w:rPr>
        <w:t>100.00%</w:t>
      </w:r>
      <w:r>
        <w:rPr>
          <w:rFonts w:ascii="Times New Roman" w:eastAsia="方正仿宋_GBK" w:hAnsi="Times New Roman" w:cs="Times New Roman"/>
          <w:sz w:val="32"/>
          <w:szCs w:val="32"/>
        </w:rPr>
        <w:t>。主要用于采购</w:t>
      </w:r>
      <w:r>
        <w:rPr>
          <w:rFonts w:ascii="Times New Roman" w:eastAsia="方正仿宋_GBK" w:hAnsi="Times New Roman" w:cs="Times New Roman" w:hint="eastAsia"/>
          <w:sz w:val="32"/>
          <w:szCs w:val="32"/>
        </w:rPr>
        <w:t>办公设备购置、办公家具购置和购买咨询服务等</w:t>
      </w:r>
      <w:r>
        <w:rPr>
          <w:rFonts w:ascii="Times New Roman" w:eastAsia="方正仿宋_GBK" w:hAnsi="Times New Roman" w:cs="Times New Roman"/>
          <w:sz w:val="32"/>
          <w:szCs w:val="32"/>
        </w:rPr>
        <w:t>。</w:t>
      </w:r>
    </w:p>
    <w:p w:rsidR="006B34BD" w:rsidRDefault="004F6E30">
      <w:pPr>
        <w:pStyle w:val="a6"/>
        <w:shd w:val="clear" w:color="auto" w:fill="FFFFFF"/>
        <w:spacing w:before="0" w:beforeAutospacing="0" w:after="0" w:afterAutospacing="0" w:line="594" w:lineRule="exact"/>
        <w:ind w:firstLineChars="200" w:firstLine="640"/>
        <w:rPr>
          <w:rFonts w:ascii="方正黑体_GBK" w:eastAsia="方正黑体_GBK" w:hAnsi="Times New Roman" w:cs="Times New Roman"/>
          <w:b/>
          <w:sz w:val="32"/>
          <w:szCs w:val="32"/>
        </w:rPr>
      </w:pPr>
      <w:r>
        <w:rPr>
          <w:rStyle w:val="a7"/>
          <w:rFonts w:ascii="方正黑体_GBK" w:eastAsia="方正黑体_GBK" w:cs="Times New Roman" w:hint="eastAsia"/>
          <w:b w:val="0"/>
          <w:sz w:val="32"/>
          <w:szCs w:val="32"/>
        </w:rPr>
        <w:t>五、预算绩效管理情况说明</w:t>
      </w:r>
    </w:p>
    <w:p w:rsidR="006B34BD" w:rsidRDefault="004F6E30">
      <w:pPr>
        <w:pStyle w:val="a6"/>
        <w:shd w:val="clear" w:color="auto" w:fill="FFFFFF"/>
        <w:spacing w:before="0" w:beforeAutospacing="0" w:after="0" w:afterAutospacing="0" w:line="594" w:lineRule="exact"/>
        <w:ind w:firstLine="420"/>
        <w:rPr>
          <w:rFonts w:ascii="方正楷体_GBK" w:eastAsia="方正楷体_GBK" w:hAnsi="Times New Roman" w:cs="Times New Roman"/>
          <w:sz w:val="32"/>
          <w:szCs w:val="32"/>
        </w:rPr>
      </w:pPr>
      <w:r>
        <w:rPr>
          <w:rStyle w:val="a7"/>
          <w:rFonts w:ascii="方正楷体_GBK" w:eastAsia="方正楷体_GBK" w:cs="Times New Roman" w:hint="eastAsia"/>
          <w:sz w:val="32"/>
          <w:szCs w:val="32"/>
        </w:rPr>
        <w:t>（一）预算绩效管理工作开展情况</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根据预算绩效管理要求，本部门对</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个项目开展了绩效自评，其中，以填报目标自评表形式开展自评</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项，涉及资金</w:t>
      </w:r>
      <w:r>
        <w:rPr>
          <w:rFonts w:ascii="Times New Roman" w:eastAsia="方正仿宋_GBK" w:hAnsi="Times New Roman" w:cs="Times New Roman"/>
          <w:sz w:val="32"/>
          <w:szCs w:val="32"/>
        </w:rPr>
        <w:t>332</w:t>
      </w:r>
      <w:r>
        <w:rPr>
          <w:rFonts w:ascii="Times New Roman" w:eastAsia="方正仿宋_GBK" w:hAnsi="Times New Roman" w:cs="Times New Roman"/>
          <w:sz w:val="32"/>
          <w:szCs w:val="32"/>
        </w:rPr>
        <w:t>万元，从评价情况来看，</w:t>
      </w:r>
      <w:r>
        <w:rPr>
          <w:rFonts w:ascii="Times New Roman" w:eastAsia="方正仿宋_GBK" w:hAnsi="Times New Roman" w:cs="Times New Roman" w:hint="eastAsia"/>
          <w:sz w:val="32"/>
          <w:szCs w:val="32"/>
        </w:rPr>
        <w:t>项目具有明确的绩效目标，项目实施过程中严格按照实际需要实施，具有较好的经济效益和社会效益，项目实施效果较好，服务对象满意度高</w:t>
      </w:r>
      <w:r>
        <w:rPr>
          <w:rFonts w:ascii="Times New Roman" w:eastAsia="方正仿宋_GBK" w:hAnsi="Times New Roman" w:cs="Times New Roman"/>
          <w:sz w:val="32"/>
          <w:szCs w:val="32"/>
        </w:rPr>
        <w:t>。</w:t>
      </w:r>
    </w:p>
    <w:p w:rsidR="006B34BD" w:rsidRDefault="004F6E30">
      <w:pPr>
        <w:pStyle w:val="a6"/>
        <w:shd w:val="clear" w:color="auto" w:fill="FFFFFF"/>
        <w:spacing w:before="0" w:beforeAutospacing="0" w:after="0" w:afterAutospacing="0" w:line="594" w:lineRule="exact"/>
        <w:ind w:firstLineChars="200" w:firstLine="640"/>
        <w:rPr>
          <w:rStyle w:val="a7"/>
          <w:rFonts w:ascii="方正楷体_GBK" w:eastAsia="方正楷体_GBK"/>
        </w:rPr>
      </w:pPr>
      <w:r>
        <w:rPr>
          <w:rStyle w:val="a7"/>
          <w:rFonts w:ascii="方正楷体_GBK" w:eastAsia="方正楷体_GBK" w:cs="Times New Roman" w:hint="eastAsia"/>
          <w:sz w:val="32"/>
          <w:szCs w:val="32"/>
        </w:rPr>
        <w:t>（</w:t>
      </w:r>
      <w:r>
        <w:rPr>
          <w:rStyle w:val="a7"/>
          <w:rFonts w:ascii="方正楷体_GBK" w:eastAsia="方正楷体_GBK" w:cs="Times New Roman"/>
          <w:sz w:val="32"/>
          <w:szCs w:val="32"/>
        </w:rPr>
        <w:t>二）绩效自评结果</w:t>
      </w:r>
    </w:p>
    <w:p w:rsidR="006B34BD" w:rsidRDefault="004F6E30" w:rsidP="004F6E30">
      <w:pPr>
        <w:pStyle w:val="a6"/>
        <w:shd w:val="clear" w:color="auto" w:fill="FFFFFF"/>
        <w:spacing w:before="0" w:beforeAutospacing="0" w:after="0" w:afterAutospacing="0" w:line="594" w:lineRule="exact"/>
        <w:ind w:firstLineChars="200" w:firstLine="643"/>
        <w:rPr>
          <w:rFonts w:ascii="Times New Roman" w:eastAsia="方正仿宋_GBK" w:hAnsi="Times New Roman" w:cs="Times New Roman"/>
          <w:sz w:val="32"/>
          <w:szCs w:val="32"/>
        </w:rPr>
      </w:pPr>
      <w:r>
        <w:rPr>
          <w:rStyle w:val="a7"/>
          <w:rFonts w:ascii="Times New Roman" w:eastAsia="方正仿宋_GBK" w:hAnsi="Times New Roman" w:cs="Times New Roman"/>
          <w:sz w:val="32"/>
          <w:szCs w:val="32"/>
        </w:rPr>
        <w:t>1.</w:t>
      </w:r>
      <w:r>
        <w:rPr>
          <w:rStyle w:val="a7"/>
          <w:rFonts w:ascii="Times New Roman" w:eastAsia="方正仿宋_GBK" w:hAnsi="Times New Roman" w:cs="Times New Roman"/>
          <w:sz w:val="32"/>
          <w:szCs w:val="32"/>
        </w:rPr>
        <w:t>绩效目标自评表</w:t>
      </w:r>
    </w:p>
    <w:p w:rsidR="006B34BD" w:rsidRDefault="004F6E30">
      <w:pPr>
        <w:pStyle w:val="a6"/>
        <w:shd w:val="clear" w:color="auto" w:fill="FFFFFF"/>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深化改革</w:t>
      </w:r>
      <w:r>
        <w:rPr>
          <w:rFonts w:ascii="Times New Roman" w:eastAsia="方正仿宋_GBK" w:hAnsi="Times New Roman" w:cs="Times New Roman"/>
          <w:sz w:val="32"/>
          <w:szCs w:val="32"/>
        </w:rPr>
        <w:t>项目绩效目标自评综述：根据年初设定的绩效目标，项目总体完成情况</w:t>
      </w:r>
      <w:r>
        <w:rPr>
          <w:rFonts w:ascii="Times New Roman" w:eastAsia="方正仿宋_GBK" w:hAnsi="Times New Roman" w:cs="Times New Roman" w:hint="eastAsia"/>
          <w:sz w:val="32"/>
          <w:szCs w:val="32"/>
        </w:rPr>
        <w:t>：全年绩效完成效果良好，达到了预期效果</w:t>
      </w:r>
      <w:r>
        <w:rPr>
          <w:rFonts w:ascii="Times New Roman" w:eastAsia="方正仿宋_GBK" w:hAnsi="Times New Roman" w:cs="Times New Roman"/>
          <w:sz w:val="32"/>
          <w:szCs w:val="32"/>
        </w:rPr>
        <w:t>。项目全年预算数为</w:t>
      </w:r>
      <w:r>
        <w:rPr>
          <w:rFonts w:ascii="Times New Roman" w:eastAsia="方正仿宋_GBK" w:hAnsi="Times New Roman" w:cs="Times New Roman" w:hint="eastAsia"/>
          <w:sz w:val="32"/>
          <w:szCs w:val="32"/>
        </w:rPr>
        <w:t>48</w:t>
      </w:r>
      <w:r>
        <w:rPr>
          <w:rFonts w:ascii="Times New Roman" w:eastAsia="方正仿宋_GBK" w:hAnsi="Times New Roman" w:cs="Times New Roman"/>
          <w:sz w:val="32"/>
          <w:szCs w:val="32"/>
        </w:rPr>
        <w:t>万元，执行数为</w:t>
      </w:r>
      <w:r>
        <w:rPr>
          <w:rFonts w:ascii="Times New Roman" w:eastAsia="方正仿宋_GBK" w:hAnsi="Times New Roman" w:cs="Times New Roman" w:hint="eastAsia"/>
          <w:sz w:val="32"/>
          <w:szCs w:val="32"/>
        </w:rPr>
        <w:t>48</w:t>
      </w:r>
      <w:r>
        <w:rPr>
          <w:rFonts w:ascii="Times New Roman" w:eastAsia="方正仿宋_GBK" w:hAnsi="Times New Roman" w:cs="Times New Roman"/>
          <w:sz w:val="32"/>
          <w:szCs w:val="32"/>
        </w:rPr>
        <w:t>万元，完成预算的</w:t>
      </w:r>
      <w:r>
        <w:rPr>
          <w:rFonts w:ascii="Times New Roman" w:eastAsia="方正仿宋_GBK" w:hAnsi="Times New Roman" w:cs="Times New Roman" w:hint="eastAsia"/>
          <w:sz w:val="32"/>
          <w:szCs w:val="32"/>
        </w:rPr>
        <w:t>100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。主要产出和效果：筹备召开区委深改委会议</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次；开展改革工作调研，出台实施文件方案</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个</w:t>
      </w:r>
      <w:r>
        <w:rPr>
          <w:rFonts w:ascii="Times New Roman" w:eastAsia="方正仿宋_GBK" w:hAnsi="Times New Roman" w:cs="Times New Roman"/>
          <w:sz w:val="32"/>
          <w:szCs w:val="32"/>
        </w:rPr>
        <w:t>；抓好改</w:t>
      </w:r>
      <w:r>
        <w:rPr>
          <w:rFonts w:ascii="Times New Roman" w:eastAsia="方正仿宋_GBK" w:hAnsi="Times New Roman" w:cs="Times New Roman"/>
          <w:sz w:val="32"/>
          <w:szCs w:val="32"/>
        </w:rPr>
        <w:lastRenderedPageBreak/>
        <w:t>革落实，建立</w:t>
      </w:r>
      <w:r>
        <w:rPr>
          <w:rFonts w:ascii="Times New Roman" w:eastAsia="方正仿宋_GBK" w:hAnsi="Times New Roman" w:cs="Times New Roman" w:hint="eastAsia"/>
          <w:sz w:val="32"/>
          <w:szCs w:val="32"/>
        </w:rPr>
        <w:t>改革</w:t>
      </w:r>
      <w:r>
        <w:rPr>
          <w:rFonts w:ascii="Times New Roman" w:eastAsia="方正仿宋_GBK" w:hAnsi="Times New Roman" w:cs="Times New Roman"/>
          <w:sz w:val="32"/>
          <w:szCs w:val="32"/>
        </w:rPr>
        <w:t>三本台账，制定交办单、提醒单、督办单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三张清单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，跟踪督促改革进展。运用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报台网微端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全媒体，在潼南电视台、潼南手机报等平台发布改革信息、开展改革宣传活动，在《潼南日报》开设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改革进行时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专栏，在《潼南改革工作简报》刊载全区改革成效亮点，宣传改革成效、解读改革政策、引导社会舆论。发现的问题及原因</w:t>
      </w:r>
      <w:r>
        <w:rPr>
          <w:rFonts w:ascii="Times New Roman" w:eastAsia="方正仿宋_GBK" w:hAnsi="Times New Roman" w:cs="Times New Roman" w:hint="eastAsia"/>
          <w:sz w:val="32"/>
          <w:szCs w:val="32"/>
        </w:rPr>
        <w:t>：绩效目标设定不够科学。中心绩效目标设定指向不够明确，目标选用重点不突出，定性指标较多，定量指标较少。</w:t>
      </w:r>
      <w:r>
        <w:rPr>
          <w:rFonts w:ascii="Times New Roman" w:eastAsia="方正仿宋_GBK" w:hAnsi="Times New Roman" w:cs="Times New Roman"/>
          <w:sz w:val="32"/>
          <w:szCs w:val="32"/>
        </w:rPr>
        <w:t>下一步</w:t>
      </w:r>
      <w:r>
        <w:rPr>
          <w:rFonts w:ascii="Times New Roman" w:eastAsia="方正仿宋_GBK" w:hAnsi="Times New Roman" w:cs="Times New Roman" w:hint="eastAsia"/>
          <w:sz w:val="32"/>
          <w:szCs w:val="32"/>
        </w:rPr>
        <w:t>将继续规范绩效目标编制，科学选定绩效指标，尽量多使用定量指标，合理确定指标标准，加强绩效评价工作，提高财政资金的使用效益。</w:t>
      </w:r>
    </w:p>
    <w:p w:rsidR="006B34BD" w:rsidRDefault="004F6E30">
      <w:pPr>
        <w:widowControl/>
        <w:jc w:val="left"/>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br w:type="page"/>
      </w:r>
    </w:p>
    <w:tbl>
      <w:tblPr>
        <w:tblW w:w="14229" w:type="dxa"/>
        <w:jc w:val="center"/>
        <w:tblLayout w:type="fixed"/>
        <w:tblLook w:val="04A0"/>
      </w:tblPr>
      <w:tblGrid>
        <w:gridCol w:w="1210"/>
        <w:gridCol w:w="2651"/>
        <w:gridCol w:w="1560"/>
        <w:gridCol w:w="1609"/>
        <w:gridCol w:w="1529"/>
        <w:gridCol w:w="2081"/>
        <w:gridCol w:w="3589"/>
      </w:tblGrid>
      <w:tr w:rsidR="006B34BD">
        <w:trPr>
          <w:trHeight w:val="585"/>
          <w:jc w:val="center"/>
        </w:trPr>
        <w:tc>
          <w:tcPr>
            <w:tcW w:w="14229" w:type="dxa"/>
            <w:gridSpan w:val="7"/>
            <w:tcBorders>
              <w:top w:val="nil"/>
              <w:left w:val="nil"/>
              <w:bottom w:val="nil"/>
              <w:right w:val="nil"/>
            </w:tcBorders>
            <w:vAlign w:val="center"/>
          </w:tcPr>
          <w:p w:rsidR="006B34BD" w:rsidRDefault="004F6E30">
            <w:pPr>
              <w:widowControl/>
              <w:jc w:val="center"/>
              <w:rPr>
                <w:rFonts w:ascii="方正小标宋_GBK" w:eastAsia="方正小标宋_GBK" w:hAnsi="Times New Roman" w:cs="Times New Roman"/>
                <w:b/>
                <w:bCs/>
                <w:color w:val="000000"/>
                <w:kern w:val="0"/>
                <w:sz w:val="36"/>
                <w:szCs w:val="36"/>
              </w:rPr>
            </w:pPr>
            <w:r>
              <w:rPr>
                <w:rFonts w:ascii="方正小标宋_GBK" w:eastAsia="方正小标宋_GBK" w:hAnsi="Times New Roman" w:cs="Times New Roman" w:hint="eastAsia"/>
                <w:b/>
                <w:bCs/>
                <w:color w:val="000000"/>
                <w:kern w:val="0"/>
                <w:sz w:val="36"/>
                <w:szCs w:val="36"/>
              </w:rPr>
              <w:lastRenderedPageBreak/>
              <w:t>2019年度项目绩效目标自评表</w:t>
            </w:r>
          </w:p>
        </w:tc>
      </w:tr>
      <w:tr w:rsidR="006B34BD">
        <w:trPr>
          <w:trHeight w:val="454"/>
          <w:jc w:val="center"/>
        </w:trPr>
        <w:tc>
          <w:tcPr>
            <w:tcW w:w="1210" w:type="dxa"/>
            <w:tcBorders>
              <w:top w:val="single" w:sz="4" w:space="0" w:color="auto"/>
              <w:left w:val="single" w:sz="4" w:space="0" w:color="auto"/>
              <w:bottom w:val="single" w:sz="4" w:space="0" w:color="auto"/>
              <w:right w:val="single" w:sz="4" w:space="0" w:color="auto"/>
            </w:tcBorders>
            <w:vAlign w:val="center"/>
          </w:tcPr>
          <w:p w:rsidR="006B34BD" w:rsidRDefault="004F6E30">
            <w:pPr>
              <w:widowControl/>
              <w:spacing w:line="32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专项名称</w:t>
            </w:r>
          </w:p>
        </w:tc>
        <w:tc>
          <w:tcPr>
            <w:tcW w:w="5820" w:type="dxa"/>
            <w:gridSpan w:val="3"/>
            <w:tcBorders>
              <w:top w:val="single" w:sz="4" w:space="0" w:color="auto"/>
              <w:left w:val="nil"/>
              <w:bottom w:val="single" w:sz="4" w:space="0" w:color="auto"/>
              <w:right w:val="single" w:sz="4" w:space="0" w:color="000000"/>
            </w:tcBorders>
            <w:vAlign w:val="center"/>
          </w:tcPr>
          <w:p w:rsidR="006B34BD" w:rsidRDefault="004F6E30">
            <w:pPr>
              <w:widowControl/>
              <w:spacing w:line="32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深化改革专项</w:t>
            </w:r>
          </w:p>
        </w:tc>
        <w:tc>
          <w:tcPr>
            <w:tcW w:w="1529" w:type="dxa"/>
            <w:tcBorders>
              <w:top w:val="single" w:sz="4" w:space="0" w:color="auto"/>
              <w:left w:val="nil"/>
              <w:bottom w:val="single" w:sz="4" w:space="0" w:color="auto"/>
              <w:right w:val="single" w:sz="4" w:space="0" w:color="auto"/>
            </w:tcBorders>
            <w:vAlign w:val="center"/>
          </w:tcPr>
          <w:p w:rsidR="006B34BD" w:rsidRDefault="004F6E30">
            <w:pPr>
              <w:widowControl/>
              <w:spacing w:line="32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联系人</w:t>
            </w:r>
            <w:r>
              <w:rPr>
                <w:rFonts w:ascii="Times New Roman" w:eastAsia="方正仿宋_GBK" w:hAnsi="Times New Roman" w:cs="Times New Roman"/>
                <w:color w:val="000000"/>
                <w:kern w:val="0"/>
                <w:sz w:val="24"/>
                <w:szCs w:val="24"/>
              </w:rPr>
              <w:br/>
            </w:r>
            <w:r>
              <w:rPr>
                <w:rFonts w:ascii="Times New Roman" w:eastAsia="方正仿宋_GBK" w:hAnsi="Times New Roman" w:cs="Times New Roman"/>
                <w:color w:val="000000"/>
                <w:kern w:val="0"/>
                <w:sz w:val="24"/>
                <w:szCs w:val="24"/>
              </w:rPr>
              <w:t>及电话</w:t>
            </w:r>
          </w:p>
        </w:tc>
        <w:tc>
          <w:tcPr>
            <w:tcW w:w="5670" w:type="dxa"/>
            <w:gridSpan w:val="2"/>
            <w:tcBorders>
              <w:top w:val="single" w:sz="4" w:space="0" w:color="auto"/>
              <w:left w:val="nil"/>
              <w:bottom w:val="single" w:sz="4" w:space="0" w:color="auto"/>
              <w:right w:val="single" w:sz="4" w:space="0" w:color="000000"/>
            </w:tcBorders>
            <w:vAlign w:val="center"/>
          </w:tcPr>
          <w:p w:rsidR="006B34BD" w:rsidRDefault="004F6E30">
            <w:pPr>
              <w:widowControl/>
              <w:spacing w:line="32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李均</w:t>
            </w:r>
            <w:r>
              <w:rPr>
                <w:rFonts w:ascii="Times New Roman" w:eastAsia="方正仿宋_GBK" w:hAnsi="Times New Roman" w:cs="Times New Roman"/>
                <w:color w:val="000000"/>
                <w:kern w:val="0"/>
                <w:sz w:val="24"/>
                <w:szCs w:val="24"/>
              </w:rPr>
              <w:t xml:space="preserve">  44581818</w:t>
            </w:r>
          </w:p>
        </w:tc>
      </w:tr>
      <w:tr w:rsidR="006B34BD">
        <w:trPr>
          <w:trHeight w:val="454"/>
          <w:jc w:val="center"/>
        </w:trPr>
        <w:tc>
          <w:tcPr>
            <w:tcW w:w="1210" w:type="dxa"/>
            <w:tcBorders>
              <w:top w:val="nil"/>
              <w:left w:val="single" w:sz="4" w:space="0" w:color="auto"/>
              <w:bottom w:val="single" w:sz="4" w:space="0" w:color="auto"/>
              <w:right w:val="single" w:sz="4" w:space="0" w:color="auto"/>
            </w:tcBorders>
            <w:vAlign w:val="center"/>
          </w:tcPr>
          <w:p w:rsidR="006B34BD" w:rsidRDefault="004F6E30">
            <w:pPr>
              <w:widowControl/>
              <w:spacing w:line="32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主管部门</w:t>
            </w:r>
          </w:p>
        </w:tc>
        <w:tc>
          <w:tcPr>
            <w:tcW w:w="5820" w:type="dxa"/>
            <w:gridSpan w:val="3"/>
            <w:tcBorders>
              <w:top w:val="single" w:sz="4" w:space="0" w:color="auto"/>
              <w:left w:val="nil"/>
              <w:bottom w:val="single" w:sz="4" w:space="0" w:color="auto"/>
              <w:right w:val="single" w:sz="4" w:space="0" w:color="000000"/>
            </w:tcBorders>
            <w:vAlign w:val="center"/>
          </w:tcPr>
          <w:p w:rsidR="006B34BD" w:rsidRDefault="004F6E30">
            <w:pPr>
              <w:widowControl/>
              <w:spacing w:line="32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区委办公室</w:t>
            </w:r>
          </w:p>
        </w:tc>
        <w:tc>
          <w:tcPr>
            <w:tcW w:w="1529" w:type="dxa"/>
            <w:tcBorders>
              <w:top w:val="nil"/>
              <w:left w:val="nil"/>
              <w:bottom w:val="single" w:sz="4" w:space="0" w:color="auto"/>
              <w:right w:val="single" w:sz="4" w:space="0" w:color="auto"/>
            </w:tcBorders>
            <w:vAlign w:val="center"/>
          </w:tcPr>
          <w:p w:rsidR="006B34BD" w:rsidRDefault="004F6E30">
            <w:pPr>
              <w:widowControl/>
              <w:spacing w:line="32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预算单位</w:t>
            </w:r>
          </w:p>
        </w:tc>
        <w:tc>
          <w:tcPr>
            <w:tcW w:w="5670" w:type="dxa"/>
            <w:gridSpan w:val="2"/>
            <w:tcBorders>
              <w:top w:val="single" w:sz="4" w:space="0" w:color="auto"/>
              <w:left w:val="nil"/>
              <w:bottom w:val="single" w:sz="4" w:space="0" w:color="auto"/>
              <w:right w:val="single" w:sz="4" w:space="0" w:color="000000"/>
            </w:tcBorders>
            <w:vAlign w:val="center"/>
          </w:tcPr>
          <w:p w:rsidR="006B34BD" w:rsidRDefault="004F6E30">
            <w:pPr>
              <w:widowControl/>
              <w:spacing w:line="32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区委办公室</w:t>
            </w:r>
          </w:p>
        </w:tc>
      </w:tr>
      <w:tr w:rsidR="006B34BD">
        <w:trPr>
          <w:trHeight w:val="454"/>
          <w:jc w:val="center"/>
        </w:trPr>
        <w:tc>
          <w:tcPr>
            <w:tcW w:w="1210" w:type="dxa"/>
            <w:vMerge w:val="restart"/>
            <w:tcBorders>
              <w:top w:val="nil"/>
              <w:left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项目资金（万元）</w:t>
            </w:r>
          </w:p>
        </w:tc>
        <w:tc>
          <w:tcPr>
            <w:tcW w:w="2651" w:type="dxa"/>
            <w:tcBorders>
              <w:top w:val="nil"/>
              <w:left w:val="nil"/>
              <w:bottom w:val="single" w:sz="4" w:space="0" w:color="auto"/>
              <w:right w:val="single" w:sz="4" w:space="0" w:color="auto"/>
            </w:tcBorders>
            <w:vAlign w:val="center"/>
          </w:tcPr>
          <w:p w:rsidR="006B34BD" w:rsidRDefault="006B34BD">
            <w:pPr>
              <w:widowControl/>
              <w:spacing w:line="400" w:lineRule="exact"/>
              <w:jc w:val="left"/>
              <w:rPr>
                <w:rFonts w:ascii="Times New Roman" w:eastAsia="方正仿宋_GBK" w:hAnsi="Times New Roman" w:cs="Times New Roman"/>
                <w:color w:val="000000"/>
                <w:kern w:val="0"/>
                <w:sz w:val="24"/>
                <w:szCs w:val="24"/>
              </w:rPr>
            </w:pPr>
          </w:p>
        </w:tc>
        <w:tc>
          <w:tcPr>
            <w:tcW w:w="1560"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年初预算数</w:t>
            </w:r>
          </w:p>
        </w:tc>
        <w:tc>
          <w:tcPr>
            <w:tcW w:w="1609"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全年预算数</w:t>
            </w:r>
          </w:p>
        </w:tc>
        <w:tc>
          <w:tcPr>
            <w:tcW w:w="1529"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全年执行数</w:t>
            </w:r>
          </w:p>
        </w:tc>
        <w:tc>
          <w:tcPr>
            <w:tcW w:w="2081"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资金执行率（</w:t>
            </w:r>
            <w:r>
              <w:rPr>
                <w:rFonts w:ascii="Times New Roman" w:eastAsia="方正仿宋_GBK" w:hAnsi="Times New Roman" w:cs="Times New Roman"/>
                <w:color w:val="000000"/>
                <w:kern w:val="0"/>
                <w:sz w:val="24"/>
                <w:szCs w:val="24"/>
              </w:rPr>
              <w:t>%)</w:t>
            </w:r>
          </w:p>
        </w:tc>
        <w:tc>
          <w:tcPr>
            <w:tcW w:w="3589" w:type="dxa"/>
            <w:tcBorders>
              <w:top w:val="nil"/>
              <w:left w:val="nil"/>
              <w:bottom w:val="single" w:sz="4" w:space="0" w:color="auto"/>
              <w:right w:val="single" w:sz="4" w:space="0" w:color="auto"/>
            </w:tcBorders>
            <w:vAlign w:val="center"/>
          </w:tcPr>
          <w:p w:rsidR="006B34BD" w:rsidRDefault="004F6E30">
            <w:pPr>
              <w:widowControl/>
              <w:spacing w:line="32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执行率未达</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原因、下一步措施</w:t>
            </w:r>
          </w:p>
        </w:tc>
      </w:tr>
      <w:tr w:rsidR="006B34BD">
        <w:trPr>
          <w:trHeight w:val="454"/>
          <w:jc w:val="center"/>
        </w:trPr>
        <w:tc>
          <w:tcPr>
            <w:tcW w:w="1210" w:type="dxa"/>
            <w:vMerge/>
            <w:tcBorders>
              <w:left w:val="single" w:sz="4" w:space="0" w:color="auto"/>
              <w:bottom w:val="single" w:sz="4" w:space="0" w:color="auto"/>
              <w:right w:val="single" w:sz="4" w:space="0" w:color="auto"/>
            </w:tcBorders>
            <w:vAlign w:val="center"/>
          </w:tcPr>
          <w:p w:rsidR="006B34BD" w:rsidRDefault="006B34BD">
            <w:pPr>
              <w:widowControl/>
              <w:spacing w:line="400" w:lineRule="exact"/>
              <w:jc w:val="left"/>
              <w:rPr>
                <w:rFonts w:ascii="Times New Roman" w:eastAsia="方正仿宋_GBK" w:hAnsi="Times New Roman" w:cs="Times New Roman"/>
                <w:color w:val="000000"/>
                <w:kern w:val="0"/>
                <w:sz w:val="24"/>
                <w:szCs w:val="24"/>
              </w:rPr>
            </w:pPr>
          </w:p>
        </w:tc>
        <w:tc>
          <w:tcPr>
            <w:tcW w:w="2651"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年度总金额</w:t>
            </w:r>
          </w:p>
        </w:tc>
        <w:tc>
          <w:tcPr>
            <w:tcW w:w="1560"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48</w:t>
            </w:r>
          </w:p>
        </w:tc>
        <w:tc>
          <w:tcPr>
            <w:tcW w:w="1609"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48</w:t>
            </w:r>
          </w:p>
        </w:tc>
        <w:tc>
          <w:tcPr>
            <w:tcW w:w="1529"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48</w:t>
            </w:r>
          </w:p>
        </w:tc>
        <w:tc>
          <w:tcPr>
            <w:tcW w:w="2081"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3589" w:type="dxa"/>
            <w:tcBorders>
              <w:top w:val="nil"/>
              <w:left w:val="nil"/>
              <w:bottom w:val="single" w:sz="4" w:space="0" w:color="auto"/>
              <w:right w:val="single" w:sz="4" w:space="0" w:color="auto"/>
            </w:tcBorders>
            <w:vAlign w:val="center"/>
          </w:tcPr>
          <w:p w:rsidR="006B34BD" w:rsidRDefault="004F6E30">
            <w:pPr>
              <w:widowControl/>
              <w:spacing w:line="400" w:lineRule="exact"/>
              <w:jc w:val="left"/>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 xml:space="preserve">　</w:t>
            </w:r>
          </w:p>
        </w:tc>
      </w:tr>
      <w:tr w:rsidR="006B34BD">
        <w:trPr>
          <w:trHeight w:val="381"/>
          <w:jc w:val="center"/>
        </w:trPr>
        <w:tc>
          <w:tcPr>
            <w:tcW w:w="1210" w:type="dxa"/>
            <w:vMerge w:val="restart"/>
            <w:tcBorders>
              <w:top w:val="nil"/>
              <w:left w:val="single" w:sz="4" w:space="0" w:color="auto"/>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年度总体目标</w:t>
            </w:r>
          </w:p>
        </w:tc>
        <w:tc>
          <w:tcPr>
            <w:tcW w:w="5820" w:type="dxa"/>
            <w:gridSpan w:val="3"/>
            <w:tcBorders>
              <w:top w:val="single" w:sz="4" w:space="0" w:color="auto"/>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年初设定目标</w:t>
            </w:r>
          </w:p>
        </w:tc>
        <w:tc>
          <w:tcPr>
            <w:tcW w:w="7199" w:type="dxa"/>
            <w:gridSpan w:val="3"/>
            <w:tcBorders>
              <w:top w:val="single" w:sz="4" w:space="0" w:color="auto"/>
              <w:left w:val="nil"/>
              <w:bottom w:val="single" w:sz="4" w:space="0" w:color="auto"/>
              <w:right w:val="single" w:sz="4" w:space="0" w:color="000000"/>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全年目标实际完成情况</w:t>
            </w:r>
          </w:p>
        </w:tc>
      </w:tr>
      <w:tr w:rsidR="006B34BD">
        <w:trPr>
          <w:trHeight w:val="720"/>
          <w:jc w:val="center"/>
        </w:trPr>
        <w:tc>
          <w:tcPr>
            <w:tcW w:w="1210" w:type="dxa"/>
            <w:vMerge/>
            <w:tcBorders>
              <w:top w:val="nil"/>
              <w:left w:val="single" w:sz="4" w:space="0" w:color="auto"/>
              <w:bottom w:val="single" w:sz="4" w:space="0" w:color="auto"/>
              <w:right w:val="single" w:sz="4" w:space="0" w:color="auto"/>
            </w:tcBorders>
            <w:vAlign w:val="center"/>
          </w:tcPr>
          <w:p w:rsidR="006B34BD" w:rsidRDefault="006B34BD">
            <w:pPr>
              <w:widowControl/>
              <w:spacing w:line="400" w:lineRule="exact"/>
              <w:jc w:val="left"/>
              <w:rPr>
                <w:rFonts w:ascii="Times New Roman" w:eastAsia="方正仿宋_GBK" w:hAnsi="Times New Roman" w:cs="Times New Roman"/>
                <w:color w:val="000000"/>
                <w:kern w:val="0"/>
                <w:sz w:val="24"/>
                <w:szCs w:val="24"/>
              </w:rPr>
            </w:pPr>
          </w:p>
        </w:tc>
        <w:tc>
          <w:tcPr>
            <w:tcW w:w="5820" w:type="dxa"/>
            <w:gridSpan w:val="3"/>
            <w:tcBorders>
              <w:top w:val="single" w:sz="4" w:space="0" w:color="auto"/>
              <w:left w:val="nil"/>
              <w:bottom w:val="single" w:sz="4" w:space="0" w:color="auto"/>
              <w:right w:val="nil"/>
            </w:tcBorders>
            <w:vAlign w:val="center"/>
          </w:tcPr>
          <w:p w:rsidR="006B34BD" w:rsidRDefault="004F6E30">
            <w:pPr>
              <w:widowControl/>
              <w:spacing w:line="360" w:lineRule="exact"/>
              <w:jc w:val="left"/>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激发经济社会发展动力活力，提出全区中长期改革规划建议，制定实施全区改革工作要点；统筹全区性重大改革和重要改革试点；组织开展重大课题研究、政策研究；开展专题调研；开展重要改革举措落实情况督查；组织召开领导小组相关会议。</w:t>
            </w:r>
          </w:p>
        </w:tc>
        <w:tc>
          <w:tcPr>
            <w:tcW w:w="7199" w:type="dxa"/>
            <w:gridSpan w:val="3"/>
            <w:tcBorders>
              <w:top w:val="single" w:sz="4" w:space="0" w:color="auto"/>
              <w:left w:val="single" w:sz="4" w:space="0" w:color="auto"/>
              <w:bottom w:val="single" w:sz="4" w:space="0" w:color="auto"/>
              <w:right w:val="single" w:sz="4" w:space="0" w:color="auto"/>
            </w:tcBorders>
            <w:vAlign w:val="center"/>
          </w:tcPr>
          <w:p w:rsidR="006B34BD" w:rsidRDefault="004F6E30">
            <w:pPr>
              <w:widowControl/>
              <w:spacing w:line="360" w:lineRule="exact"/>
              <w:jc w:val="left"/>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筹备召开区委深改委会议</w:t>
            </w:r>
            <w:r>
              <w:rPr>
                <w:rFonts w:ascii="Times New Roman" w:eastAsia="方正仿宋_GBK" w:hAnsi="Times New Roman" w:cs="Times New Roman"/>
                <w:color w:val="000000"/>
                <w:kern w:val="0"/>
                <w:sz w:val="24"/>
                <w:szCs w:val="24"/>
              </w:rPr>
              <w:t>4</w:t>
            </w:r>
            <w:r>
              <w:rPr>
                <w:rFonts w:ascii="Times New Roman" w:eastAsia="方正仿宋_GBK" w:hAnsi="Times New Roman" w:cs="Times New Roman"/>
                <w:color w:val="000000"/>
                <w:kern w:val="0"/>
                <w:sz w:val="24"/>
                <w:szCs w:val="24"/>
              </w:rPr>
              <w:t>次；出台实施文件方案</w:t>
            </w: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个；建立改革三本台账，制定</w:t>
            </w:r>
            <w:r>
              <w:rPr>
                <w:rFonts w:ascii="Times New Roman" w:eastAsia="方正仿宋_GBK" w:hAnsi="Times New Roman" w:cs="Times New Roman"/>
                <w:color w:val="000000"/>
                <w:kern w:val="0"/>
                <w:sz w:val="24"/>
                <w:szCs w:val="24"/>
              </w:rPr>
              <w:t xml:space="preserve"> “</w:t>
            </w:r>
            <w:r>
              <w:rPr>
                <w:rFonts w:ascii="Times New Roman" w:eastAsia="方正仿宋_GBK" w:hAnsi="Times New Roman" w:cs="Times New Roman"/>
                <w:color w:val="000000"/>
                <w:kern w:val="0"/>
                <w:sz w:val="24"/>
                <w:szCs w:val="24"/>
              </w:rPr>
              <w:t>三张清单</w:t>
            </w: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，跟踪督促改革进展；在潼南电视台、潼南手机报等平台发布改革信息、开展改革宣传活动；在《潼南日报》开设</w:t>
            </w: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改革进行时</w:t>
            </w: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专栏；在《潼南改革工作简报》刊载全区改革成效亮点。</w:t>
            </w:r>
          </w:p>
        </w:tc>
      </w:tr>
      <w:tr w:rsidR="006B34BD">
        <w:trPr>
          <w:trHeight w:val="454"/>
          <w:jc w:val="center"/>
        </w:trPr>
        <w:tc>
          <w:tcPr>
            <w:tcW w:w="1210" w:type="dxa"/>
            <w:vMerge w:val="restart"/>
            <w:tcBorders>
              <w:top w:val="nil"/>
              <w:left w:val="single" w:sz="4" w:space="0" w:color="auto"/>
              <w:right w:val="single" w:sz="4" w:space="0" w:color="auto"/>
            </w:tcBorders>
            <w:textDirection w:val="tbRlV"/>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绩效指标</w:t>
            </w:r>
          </w:p>
        </w:tc>
        <w:tc>
          <w:tcPr>
            <w:tcW w:w="2651"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指标名称</w:t>
            </w:r>
          </w:p>
        </w:tc>
        <w:tc>
          <w:tcPr>
            <w:tcW w:w="1560"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计量单位</w:t>
            </w:r>
          </w:p>
        </w:tc>
        <w:tc>
          <w:tcPr>
            <w:tcW w:w="1609"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年度指标值</w:t>
            </w:r>
          </w:p>
        </w:tc>
        <w:tc>
          <w:tcPr>
            <w:tcW w:w="1529" w:type="dxa"/>
            <w:tcBorders>
              <w:top w:val="nil"/>
              <w:left w:val="nil"/>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全年完成值</w:t>
            </w:r>
          </w:p>
        </w:tc>
        <w:tc>
          <w:tcPr>
            <w:tcW w:w="5670" w:type="dxa"/>
            <w:gridSpan w:val="2"/>
            <w:tcBorders>
              <w:top w:val="single" w:sz="4" w:space="0" w:color="auto"/>
              <w:left w:val="nil"/>
              <w:bottom w:val="single" w:sz="4" w:space="0" w:color="auto"/>
              <w:right w:val="single" w:sz="4" w:space="0" w:color="000000"/>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未完成绩效目标或偏离较多的原因</w:t>
            </w: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下一步改进措施</w:t>
            </w:r>
          </w:p>
        </w:tc>
      </w:tr>
      <w:tr w:rsidR="006B34BD">
        <w:trPr>
          <w:trHeight w:val="340"/>
          <w:jc w:val="center"/>
        </w:trPr>
        <w:tc>
          <w:tcPr>
            <w:tcW w:w="1210" w:type="dxa"/>
            <w:vMerge/>
            <w:tcBorders>
              <w:left w:val="single" w:sz="4" w:space="0" w:color="auto"/>
              <w:right w:val="single" w:sz="4" w:space="0" w:color="auto"/>
            </w:tcBorders>
            <w:vAlign w:val="center"/>
          </w:tcPr>
          <w:p w:rsidR="006B34BD" w:rsidRDefault="006B34BD">
            <w:pPr>
              <w:widowControl/>
              <w:spacing w:line="400" w:lineRule="exact"/>
              <w:jc w:val="left"/>
              <w:rPr>
                <w:rFonts w:ascii="Times New Roman" w:eastAsia="方正仿宋_GBK" w:hAnsi="Times New Roman" w:cs="Times New Roman"/>
                <w:color w:val="000000"/>
                <w:kern w:val="0"/>
                <w:sz w:val="24"/>
                <w:szCs w:val="24"/>
              </w:rPr>
            </w:pPr>
          </w:p>
        </w:tc>
        <w:tc>
          <w:tcPr>
            <w:tcW w:w="2651"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实际完成率</w:t>
            </w:r>
          </w:p>
        </w:tc>
        <w:tc>
          <w:tcPr>
            <w:tcW w:w="1560" w:type="dxa"/>
            <w:tcBorders>
              <w:top w:val="nil"/>
              <w:left w:val="nil"/>
              <w:bottom w:val="single" w:sz="4" w:space="0" w:color="auto"/>
              <w:right w:val="single" w:sz="4" w:space="0" w:color="auto"/>
            </w:tcBorders>
            <w:vAlign w:val="center"/>
          </w:tcPr>
          <w:p w:rsidR="006B34BD" w:rsidRDefault="004F6E30">
            <w:pPr>
              <w:spacing w:line="260" w:lineRule="exact"/>
              <w:jc w:val="center"/>
            </w:pPr>
            <w:r>
              <w:rPr>
                <w:rFonts w:ascii="Times New Roman" w:eastAsia="方正仿宋_GBK" w:hAnsi="Times New Roman" w:cs="Times New Roman" w:hint="eastAsia"/>
                <w:color w:val="000000"/>
                <w:kern w:val="0"/>
                <w:sz w:val="24"/>
                <w:szCs w:val="24"/>
              </w:rPr>
              <w:t>比率</w:t>
            </w:r>
          </w:p>
        </w:tc>
        <w:tc>
          <w:tcPr>
            <w:tcW w:w="160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152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5670" w:type="dxa"/>
            <w:gridSpan w:val="2"/>
            <w:tcBorders>
              <w:top w:val="single" w:sz="4" w:space="0" w:color="auto"/>
              <w:left w:val="nil"/>
              <w:bottom w:val="single" w:sz="4" w:space="0" w:color="auto"/>
              <w:right w:val="single" w:sz="4" w:space="0" w:color="000000"/>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 xml:space="preserve">　</w:t>
            </w:r>
          </w:p>
        </w:tc>
      </w:tr>
      <w:tr w:rsidR="006B34BD">
        <w:trPr>
          <w:trHeight w:val="340"/>
          <w:jc w:val="center"/>
        </w:trPr>
        <w:tc>
          <w:tcPr>
            <w:tcW w:w="1210" w:type="dxa"/>
            <w:vMerge/>
            <w:tcBorders>
              <w:left w:val="single" w:sz="4" w:space="0" w:color="auto"/>
              <w:right w:val="single" w:sz="4" w:space="0" w:color="auto"/>
            </w:tcBorders>
            <w:vAlign w:val="center"/>
          </w:tcPr>
          <w:p w:rsidR="006B34BD" w:rsidRDefault="006B34BD">
            <w:pPr>
              <w:widowControl/>
              <w:spacing w:line="400" w:lineRule="exact"/>
              <w:jc w:val="left"/>
              <w:rPr>
                <w:rFonts w:ascii="Times New Roman" w:eastAsia="方正仿宋_GBK" w:hAnsi="Times New Roman" w:cs="Times New Roman"/>
                <w:color w:val="000000"/>
                <w:kern w:val="0"/>
                <w:sz w:val="24"/>
                <w:szCs w:val="24"/>
              </w:rPr>
            </w:pPr>
          </w:p>
        </w:tc>
        <w:tc>
          <w:tcPr>
            <w:tcW w:w="2651" w:type="dxa"/>
            <w:tcBorders>
              <w:top w:val="nil"/>
              <w:left w:val="nil"/>
              <w:bottom w:val="single" w:sz="4" w:space="0" w:color="auto"/>
              <w:right w:val="single" w:sz="4" w:space="0" w:color="auto"/>
            </w:tcBorders>
            <w:vAlign w:val="center"/>
          </w:tcPr>
          <w:p w:rsidR="006B34BD" w:rsidRDefault="004F6E30">
            <w:pPr>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质量合格率</w:t>
            </w:r>
          </w:p>
        </w:tc>
        <w:tc>
          <w:tcPr>
            <w:tcW w:w="1560" w:type="dxa"/>
            <w:tcBorders>
              <w:top w:val="nil"/>
              <w:left w:val="nil"/>
              <w:bottom w:val="single" w:sz="4" w:space="0" w:color="auto"/>
              <w:right w:val="single" w:sz="4" w:space="0" w:color="auto"/>
            </w:tcBorders>
            <w:vAlign w:val="center"/>
          </w:tcPr>
          <w:p w:rsidR="006B34BD" w:rsidRDefault="004F6E30">
            <w:pPr>
              <w:spacing w:line="260" w:lineRule="exact"/>
              <w:jc w:val="center"/>
            </w:pPr>
            <w:r>
              <w:rPr>
                <w:rFonts w:ascii="Times New Roman" w:eastAsia="方正仿宋_GBK" w:hAnsi="Times New Roman" w:cs="Times New Roman" w:hint="eastAsia"/>
                <w:color w:val="000000"/>
                <w:kern w:val="0"/>
                <w:sz w:val="24"/>
                <w:szCs w:val="24"/>
              </w:rPr>
              <w:t>比率</w:t>
            </w:r>
          </w:p>
        </w:tc>
        <w:tc>
          <w:tcPr>
            <w:tcW w:w="160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152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5670" w:type="dxa"/>
            <w:gridSpan w:val="2"/>
            <w:tcBorders>
              <w:top w:val="single" w:sz="4" w:space="0" w:color="auto"/>
              <w:left w:val="nil"/>
              <w:bottom w:val="single" w:sz="4" w:space="0" w:color="auto"/>
              <w:right w:val="single" w:sz="4" w:space="0" w:color="000000"/>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 xml:space="preserve">　</w:t>
            </w:r>
          </w:p>
        </w:tc>
      </w:tr>
      <w:tr w:rsidR="006B34BD">
        <w:trPr>
          <w:trHeight w:val="340"/>
          <w:jc w:val="center"/>
        </w:trPr>
        <w:tc>
          <w:tcPr>
            <w:tcW w:w="1210" w:type="dxa"/>
            <w:vMerge/>
            <w:tcBorders>
              <w:left w:val="single" w:sz="4" w:space="0" w:color="auto"/>
              <w:right w:val="single" w:sz="4" w:space="0" w:color="auto"/>
            </w:tcBorders>
            <w:vAlign w:val="center"/>
          </w:tcPr>
          <w:p w:rsidR="006B34BD" w:rsidRDefault="006B34BD">
            <w:pPr>
              <w:widowControl/>
              <w:spacing w:line="400" w:lineRule="exact"/>
              <w:jc w:val="left"/>
              <w:rPr>
                <w:rFonts w:ascii="Times New Roman" w:eastAsia="方正仿宋_GBK" w:hAnsi="Times New Roman" w:cs="Times New Roman"/>
                <w:color w:val="000000"/>
                <w:kern w:val="0"/>
                <w:sz w:val="24"/>
                <w:szCs w:val="24"/>
              </w:rPr>
            </w:pPr>
          </w:p>
        </w:tc>
        <w:tc>
          <w:tcPr>
            <w:tcW w:w="2651"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完成及时率</w:t>
            </w:r>
          </w:p>
        </w:tc>
        <w:tc>
          <w:tcPr>
            <w:tcW w:w="1560" w:type="dxa"/>
            <w:tcBorders>
              <w:top w:val="nil"/>
              <w:left w:val="nil"/>
              <w:bottom w:val="single" w:sz="4" w:space="0" w:color="auto"/>
              <w:right w:val="single" w:sz="4" w:space="0" w:color="auto"/>
            </w:tcBorders>
            <w:vAlign w:val="center"/>
          </w:tcPr>
          <w:p w:rsidR="006B34BD" w:rsidRDefault="004F6E30">
            <w:pPr>
              <w:spacing w:line="260" w:lineRule="exact"/>
              <w:jc w:val="center"/>
            </w:pPr>
            <w:r>
              <w:rPr>
                <w:rFonts w:ascii="Times New Roman" w:eastAsia="方正仿宋_GBK" w:hAnsi="Times New Roman" w:cs="Times New Roman" w:hint="eastAsia"/>
                <w:color w:val="000000"/>
                <w:kern w:val="0"/>
                <w:sz w:val="24"/>
                <w:szCs w:val="24"/>
              </w:rPr>
              <w:t>比率</w:t>
            </w:r>
          </w:p>
        </w:tc>
        <w:tc>
          <w:tcPr>
            <w:tcW w:w="160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152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5670" w:type="dxa"/>
            <w:gridSpan w:val="2"/>
            <w:tcBorders>
              <w:top w:val="single" w:sz="4" w:space="0" w:color="auto"/>
              <w:left w:val="nil"/>
              <w:bottom w:val="single" w:sz="4" w:space="0" w:color="auto"/>
              <w:right w:val="single" w:sz="4" w:space="0" w:color="000000"/>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 xml:space="preserve">　</w:t>
            </w:r>
          </w:p>
        </w:tc>
      </w:tr>
      <w:tr w:rsidR="006B34BD">
        <w:trPr>
          <w:trHeight w:val="340"/>
          <w:jc w:val="center"/>
        </w:trPr>
        <w:tc>
          <w:tcPr>
            <w:tcW w:w="1210" w:type="dxa"/>
            <w:vMerge/>
            <w:tcBorders>
              <w:left w:val="single" w:sz="4" w:space="0" w:color="auto"/>
              <w:right w:val="single" w:sz="4" w:space="0" w:color="auto"/>
            </w:tcBorders>
            <w:vAlign w:val="center"/>
          </w:tcPr>
          <w:p w:rsidR="006B34BD" w:rsidRDefault="006B34BD">
            <w:pPr>
              <w:widowControl/>
              <w:spacing w:line="400" w:lineRule="exact"/>
              <w:jc w:val="left"/>
              <w:rPr>
                <w:rFonts w:ascii="Times New Roman" w:eastAsia="方正仿宋_GBK" w:hAnsi="Times New Roman" w:cs="Times New Roman"/>
                <w:color w:val="000000"/>
                <w:kern w:val="0"/>
                <w:sz w:val="24"/>
                <w:szCs w:val="24"/>
              </w:rPr>
            </w:pPr>
          </w:p>
        </w:tc>
        <w:tc>
          <w:tcPr>
            <w:tcW w:w="2651"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成本节约率</w:t>
            </w:r>
          </w:p>
        </w:tc>
        <w:tc>
          <w:tcPr>
            <w:tcW w:w="1560" w:type="dxa"/>
            <w:tcBorders>
              <w:top w:val="nil"/>
              <w:left w:val="nil"/>
              <w:bottom w:val="single" w:sz="4" w:space="0" w:color="auto"/>
              <w:right w:val="single" w:sz="4" w:space="0" w:color="auto"/>
            </w:tcBorders>
            <w:vAlign w:val="center"/>
          </w:tcPr>
          <w:p w:rsidR="006B34BD" w:rsidRDefault="004F6E30">
            <w:pPr>
              <w:spacing w:line="260" w:lineRule="exact"/>
              <w:jc w:val="center"/>
            </w:pPr>
            <w:r>
              <w:rPr>
                <w:rFonts w:ascii="Times New Roman" w:eastAsia="方正仿宋_GBK" w:hAnsi="Times New Roman" w:cs="Times New Roman" w:hint="eastAsia"/>
                <w:color w:val="000000"/>
                <w:kern w:val="0"/>
                <w:sz w:val="24"/>
                <w:szCs w:val="24"/>
              </w:rPr>
              <w:t>比率</w:t>
            </w:r>
          </w:p>
        </w:tc>
        <w:tc>
          <w:tcPr>
            <w:tcW w:w="160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152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5670" w:type="dxa"/>
            <w:gridSpan w:val="2"/>
            <w:tcBorders>
              <w:top w:val="single" w:sz="4" w:space="0" w:color="auto"/>
              <w:left w:val="nil"/>
              <w:bottom w:val="single" w:sz="4" w:space="0" w:color="auto"/>
              <w:right w:val="single" w:sz="4" w:space="0" w:color="000000"/>
            </w:tcBorders>
            <w:vAlign w:val="center"/>
          </w:tcPr>
          <w:p w:rsidR="006B34BD" w:rsidRDefault="006B34BD">
            <w:pPr>
              <w:widowControl/>
              <w:spacing w:line="260" w:lineRule="exact"/>
              <w:jc w:val="center"/>
              <w:rPr>
                <w:rFonts w:ascii="Times New Roman" w:eastAsia="方正仿宋_GBK" w:hAnsi="Times New Roman" w:cs="Times New Roman"/>
                <w:color w:val="000000"/>
                <w:kern w:val="0"/>
                <w:sz w:val="24"/>
                <w:szCs w:val="24"/>
              </w:rPr>
            </w:pPr>
          </w:p>
        </w:tc>
      </w:tr>
      <w:tr w:rsidR="006B34BD">
        <w:trPr>
          <w:trHeight w:val="340"/>
          <w:jc w:val="center"/>
        </w:trPr>
        <w:tc>
          <w:tcPr>
            <w:tcW w:w="1210" w:type="dxa"/>
            <w:vMerge/>
            <w:tcBorders>
              <w:left w:val="single" w:sz="4" w:space="0" w:color="auto"/>
              <w:right w:val="single" w:sz="4" w:space="0" w:color="auto"/>
            </w:tcBorders>
            <w:vAlign w:val="center"/>
          </w:tcPr>
          <w:p w:rsidR="006B34BD" w:rsidRDefault="006B34BD">
            <w:pPr>
              <w:widowControl/>
              <w:spacing w:line="400" w:lineRule="exact"/>
              <w:jc w:val="left"/>
              <w:rPr>
                <w:rFonts w:ascii="Times New Roman" w:eastAsia="方正仿宋_GBK" w:hAnsi="Times New Roman" w:cs="Times New Roman"/>
                <w:color w:val="000000"/>
                <w:kern w:val="0"/>
                <w:sz w:val="24"/>
                <w:szCs w:val="24"/>
              </w:rPr>
            </w:pPr>
          </w:p>
        </w:tc>
        <w:tc>
          <w:tcPr>
            <w:tcW w:w="2651"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社会效益</w:t>
            </w:r>
          </w:p>
        </w:tc>
        <w:tc>
          <w:tcPr>
            <w:tcW w:w="1560" w:type="dxa"/>
            <w:tcBorders>
              <w:top w:val="nil"/>
              <w:left w:val="nil"/>
              <w:bottom w:val="single" w:sz="4" w:space="0" w:color="auto"/>
              <w:right w:val="single" w:sz="4" w:space="0" w:color="auto"/>
            </w:tcBorders>
            <w:vAlign w:val="center"/>
          </w:tcPr>
          <w:p w:rsidR="006B34BD" w:rsidRDefault="004F6E30">
            <w:pPr>
              <w:spacing w:line="260" w:lineRule="exact"/>
              <w:jc w:val="center"/>
            </w:pPr>
            <w:r>
              <w:rPr>
                <w:rFonts w:ascii="Times New Roman" w:eastAsia="方正仿宋_GBK" w:hAnsi="Times New Roman" w:cs="Times New Roman" w:hint="eastAsia"/>
                <w:color w:val="000000"/>
                <w:kern w:val="0"/>
                <w:sz w:val="24"/>
                <w:szCs w:val="24"/>
              </w:rPr>
              <w:t>比率</w:t>
            </w:r>
          </w:p>
        </w:tc>
        <w:tc>
          <w:tcPr>
            <w:tcW w:w="160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152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5670" w:type="dxa"/>
            <w:gridSpan w:val="2"/>
            <w:tcBorders>
              <w:top w:val="single" w:sz="4" w:space="0" w:color="auto"/>
              <w:left w:val="nil"/>
              <w:bottom w:val="single" w:sz="4" w:space="0" w:color="auto"/>
              <w:right w:val="single" w:sz="4" w:space="0" w:color="000000"/>
            </w:tcBorders>
            <w:vAlign w:val="center"/>
          </w:tcPr>
          <w:p w:rsidR="006B34BD" w:rsidRDefault="006B34BD">
            <w:pPr>
              <w:widowControl/>
              <w:spacing w:line="260" w:lineRule="exact"/>
              <w:jc w:val="center"/>
              <w:rPr>
                <w:rFonts w:ascii="Times New Roman" w:eastAsia="方正仿宋_GBK" w:hAnsi="Times New Roman" w:cs="Times New Roman"/>
                <w:color w:val="000000"/>
                <w:kern w:val="0"/>
                <w:sz w:val="24"/>
                <w:szCs w:val="24"/>
              </w:rPr>
            </w:pPr>
          </w:p>
        </w:tc>
      </w:tr>
      <w:tr w:rsidR="006B34BD">
        <w:trPr>
          <w:trHeight w:val="340"/>
          <w:jc w:val="center"/>
        </w:trPr>
        <w:tc>
          <w:tcPr>
            <w:tcW w:w="1210" w:type="dxa"/>
            <w:vMerge/>
            <w:tcBorders>
              <w:left w:val="single" w:sz="4" w:space="0" w:color="auto"/>
              <w:right w:val="single" w:sz="4" w:space="0" w:color="auto"/>
            </w:tcBorders>
            <w:vAlign w:val="center"/>
          </w:tcPr>
          <w:p w:rsidR="006B34BD" w:rsidRDefault="006B34BD">
            <w:pPr>
              <w:widowControl/>
              <w:spacing w:line="400" w:lineRule="exact"/>
              <w:jc w:val="left"/>
              <w:rPr>
                <w:rFonts w:ascii="Times New Roman" w:eastAsia="方正仿宋_GBK" w:hAnsi="Times New Roman" w:cs="Times New Roman"/>
                <w:color w:val="000000"/>
                <w:kern w:val="0"/>
                <w:sz w:val="24"/>
                <w:szCs w:val="24"/>
              </w:rPr>
            </w:pPr>
          </w:p>
        </w:tc>
        <w:tc>
          <w:tcPr>
            <w:tcW w:w="2651"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可持续影响</w:t>
            </w:r>
          </w:p>
        </w:tc>
        <w:tc>
          <w:tcPr>
            <w:tcW w:w="1560" w:type="dxa"/>
            <w:tcBorders>
              <w:top w:val="nil"/>
              <w:left w:val="nil"/>
              <w:bottom w:val="single" w:sz="4" w:space="0" w:color="auto"/>
              <w:right w:val="single" w:sz="4" w:space="0" w:color="auto"/>
            </w:tcBorders>
            <w:vAlign w:val="center"/>
          </w:tcPr>
          <w:p w:rsidR="006B34BD" w:rsidRDefault="004F6E30">
            <w:pPr>
              <w:spacing w:line="260" w:lineRule="exact"/>
              <w:jc w:val="center"/>
            </w:pPr>
            <w:r>
              <w:rPr>
                <w:rFonts w:ascii="Times New Roman" w:eastAsia="方正仿宋_GBK" w:hAnsi="Times New Roman" w:cs="Times New Roman" w:hint="eastAsia"/>
                <w:color w:val="000000"/>
                <w:kern w:val="0"/>
                <w:sz w:val="24"/>
                <w:szCs w:val="24"/>
              </w:rPr>
              <w:t>比率</w:t>
            </w:r>
          </w:p>
        </w:tc>
        <w:tc>
          <w:tcPr>
            <w:tcW w:w="160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152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100%</w:t>
            </w:r>
          </w:p>
        </w:tc>
        <w:tc>
          <w:tcPr>
            <w:tcW w:w="5670" w:type="dxa"/>
            <w:gridSpan w:val="2"/>
            <w:tcBorders>
              <w:top w:val="single" w:sz="4" w:space="0" w:color="auto"/>
              <w:left w:val="nil"/>
              <w:bottom w:val="single" w:sz="4" w:space="0" w:color="auto"/>
              <w:right w:val="single" w:sz="4" w:space="0" w:color="000000"/>
            </w:tcBorders>
            <w:vAlign w:val="center"/>
          </w:tcPr>
          <w:p w:rsidR="006B34BD" w:rsidRDefault="006B34BD">
            <w:pPr>
              <w:widowControl/>
              <w:spacing w:line="260" w:lineRule="exact"/>
              <w:jc w:val="center"/>
              <w:rPr>
                <w:rFonts w:ascii="Times New Roman" w:eastAsia="方正仿宋_GBK" w:hAnsi="Times New Roman" w:cs="Times New Roman"/>
                <w:color w:val="000000"/>
                <w:kern w:val="0"/>
                <w:sz w:val="24"/>
                <w:szCs w:val="24"/>
              </w:rPr>
            </w:pPr>
          </w:p>
        </w:tc>
      </w:tr>
      <w:tr w:rsidR="006B34BD">
        <w:trPr>
          <w:trHeight w:val="340"/>
          <w:jc w:val="center"/>
        </w:trPr>
        <w:tc>
          <w:tcPr>
            <w:tcW w:w="1210" w:type="dxa"/>
            <w:vMerge/>
            <w:tcBorders>
              <w:left w:val="single" w:sz="4" w:space="0" w:color="auto"/>
              <w:bottom w:val="single" w:sz="4" w:space="0" w:color="auto"/>
              <w:right w:val="single" w:sz="4" w:space="0" w:color="auto"/>
            </w:tcBorders>
            <w:vAlign w:val="center"/>
          </w:tcPr>
          <w:p w:rsidR="006B34BD" w:rsidRDefault="006B34BD">
            <w:pPr>
              <w:widowControl/>
              <w:spacing w:line="400" w:lineRule="exact"/>
              <w:jc w:val="left"/>
              <w:rPr>
                <w:rFonts w:ascii="Times New Roman" w:eastAsia="方正仿宋_GBK" w:hAnsi="Times New Roman" w:cs="Times New Roman"/>
                <w:color w:val="000000"/>
                <w:kern w:val="0"/>
                <w:sz w:val="24"/>
                <w:szCs w:val="24"/>
              </w:rPr>
            </w:pPr>
          </w:p>
        </w:tc>
        <w:tc>
          <w:tcPr>
            <w:tcW w:w="2651"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社会公众或服务对象满意度</w:t>
            </w:r>
          </w:p>
        </w:tc>
        <w:tc>
          <w:tcPr>
            <w:tcW w:w="1560" w:type="dxa"/>
            <w:tcBorders>
              <w:top w:val="nil"/>
              <w:left w:val="nil"/>
              <w:bottom w:val="single" w:sz="4" w:space="0" w:color="auto"/>
              <w:right w:val="single" w:sz="4" w:space="0" w:color="auto"/>
            </w:tcBorders>
            <w:vAlign w:val="center"/>
          </w:tcPr>
          <w:p w:rsidR="006B34BD" w:rsidRDefault="004F6E30">
            <w:pPr>
              <w:spacing w:line="260" w:lineRule="exact"/>
              <w:jc w:val="center"/>
            </w:pPr>
            <w:r>
              <w:rPr>
                <w:rFonts w:ascii="Times New Roman" w:eastAsia="方正仿宋_GBK" w:hAnsi="Times New Roman" w:cs="Times New Roman" w:hint="eastAsia"/>
                <w:color w:val="000000"/>
                <w:kern w:val="0"/>
                <w:sz w:val="24"/>
                <w:szCs w:val="24"/>
              </w:rPr>
              <w:t>比率</w:t>
            </w:r>
          </w:p>
        </w:tc>
        <w:tc>
          <w:tcPr>
            <w:tcW w:w="160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&gt;95</w:t>
            </w:r>
            <w:r>
              <w:rPr>
                <w:rFonts w:ascii="Times New Roman" w:eastAsia="方正仿宋_GBK" w:hAnsi="Times New Roman" w:cs="Times New Roman"/>
                <w:color w:val="000000"/>
                <w:kern w:val="0"/>
                <w:sz w:val="24"/>
                <w:szCs w:val="24"/>
              </w:rPr>
              <w:t>%</w:t>
            </w:r>
          </w:p>
        </w:tc>
        <w:tc>
          <w:tcPr>
            <w:tcW w:w="1529" w:type="dxa"/>
            <w:tcBorders>
              <w:top w:val="nil"/>
              <w:left w:val="nil"/>
              <w:bottom w:val="single" w:sz="4" w:space="0" w:color="auto"/>
              <w:right w:val="single" w:sz="4" w:space="0" w:color="auto"/>
            </w:tcBorders>
            <w:vAlign w:val="center"/>
          </w:tcPr>
          <w:p w:rsidR="006B34BD" w:rsidRDefault="004F6E30">
            <w:pPr>
              <w:widowControl/>
              <w:spacing w:line="26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&gt;95</w:t>
            </w:r>
            <w:r>
              <w:rPr>
                <w:rFonts w:ascii="Times New Roman" w:eastAsia="方正仿宋_GBK" w:hAnsi="Times New Roman" w:cs="Times New Roman"/>
                <w:color w:val="000000"/>
                <w:kern w:val="0"/>
                <w:sz w:val="24"/>
                <w:szCs w:val="24"/>
              </w:rPr>
              <w:t>%</w:t>
            </w:r>
          </w:p>
        </w:tc>
        <w:tc>
          <w:tcPr>
            <w:tcW w:w="5670" w:type="dxa"/>
            <w:gridSpan w:val="2"/>
            <w:tcBorders>
              <w:top w:val="single" w:sz="4" w:space="0" w:color="auto"/>
              <w:left w:val="nil"/>
              <w:bottom w:val="single" w:sz="4" w:space="0" w:color="auto"/>
              <w:right w:val="single" w:sz="4" w:space="0" w:color="000000"/>
            </w:tcBorders>
            <w:vAlign w:val="center"/>
          </w:tcPr>
          <w:p w:rsidR="006B34BD" w:rsidRDefault="006B34BD">
            <w:pPr>
              <w:widowControl/>
              <w:spacing w:line="260" w:lineRule="exact"/>
              <w:jc w:val="center"/>
              <w:rPr>
                <w:rFonts w:ascii="Times New Roman" w:eastAsia="方正仿宋_GBK" w:hAnsi="Times New Roman" w:cs="Times New Roman"/>
                <w:color w:val="000000"/>
                <w:kern w:val="0"/>
                <w:sz w:val="24"/>
                <w:szCs w:val="24"/>
              </w:rPr>
            </w:pPr>
          </w:p>
        </w:tc>
      </w:tr>
      <w:tr w:rsidR="006B34BD">
        <w:trPr>
          <w:trHeight w:val="454"/>
          <w:jc w:val="center"/>
        </w:trPr>
        <w:tc>
          <w:tcPr>
            <w:tcW w:w="1210" w:type="dxa"/>
            <w:tcBorders>
              <w:top w:val="nil"/>
              <w:left w:val="single" w:sz="4" w:space="0" w:color="auto"/>
              <w:bottom w:val="single" w:sz="4" w:space="0" w:color="auto"/>
              <w:right w:val="single" w:sz="4" w:space="0" w:color="auto"/>
            </w:tcBorders>
            <w:vAlign w:val="center"/>
          </w:tcPr>
          <w:p w:rsidR="006B34BD" w:rsidRDefault="004F6E30">
            <w:pPr>
              <w:widowControl/>
              <w:spacing w:line="400" w:lineRule="exact"/>
              <w:jc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其他说明</w:t>
            </w:r>
          </w:p>
        </w:tc>
        <w:tc>
          <w:tcPr>
            <w:tcW w:w="13019" w:type="dxa"/>
            <w:gridSpan w:val="6"/>
            <w:tcBorders>
              <w:top w:val="single" w:sz="4" w:space="0" w:color="auto"/>
              <w:left w:val="nil"/>
              <w:bottom w:val="single" w:sz="4" w:space="0" w:color="auto"/>
              <w:right w:val="single" w:sz="4" w:space="0" w:color="auto"/>
            </w:tcBorders>
            <w:vAlign w:val="center"/>
          </w:tcPr>
          <w:p w:rsidR="006B34BD" w:rsidRDefault="004F6E30">
            <w:pPr>
              <w:widowControl/>
              <w:spacing w:line="260" w:lineRule="exact"/>
              <w:jc w:val="left"/>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涉及该项目绩效的其他情况说明。若无，则不填。</w:t>
            </w:r>
          </w:p>
        </w:tc>
      </w:tr>
    </w:tbl>
    <w:p w:rsidR="006B34BD" w:rsidRDefault="004F6E30" w:rsidP="004F6E30">
      <w:pPr>
        <w:pStyle w:val="a6"/>
        <w:shd w:val="clear" w:color="auto" w:fill="FFFFFF"/>
        <w:spacing w:before="0" w:beforeAutospacing="0" w:after="0" w:afterAutospacing="0" w:line="520" w:lineRule="exact"/>
        <w:ind w:firstLineChars="200" w:firstLine="643"/>
        <w:rPr>
          <w:rStyle w:val="a7"/>
          <w:rFonts w:ascii="Times New Roman" w:eastAsia="方正仿宋_GBK" w:hAnsi="Times New Roman" w:cs="Times New Roman"/>
          <w:sz w:val="32"/>
          <w:szCs w:val="32"/>
        </w:rPr>
      </w:pPr>
      <w:r>
        <w:rPr>
          <w:rStyle w:val="a7"/>
          <w:rFonts w:ascii="Times New Roman" w:eastAsia="方正仿宋_GBK" w:hAnsi="Times New Roman" w:cs="Times New Roman"/>
          <w:sz w:val="32"/>
          <w:szCs w:val="32"/>
        </w:rPr>
        <w:t>2</w:t>
      </w:r>
      <w:r>
        <w:rPr>
          <w:rStyle w:val="a7"/>
          <w:rFonts w:ascii="Times New Roman" w:eastAsia="方正仿宋_GBK" w:hAnsi="Times New Roman" w:cs="Times New Roman"/>
          <w:sz w:val="32"/>
          <w:szCs w:val="32"/>
        </w:rPr>
        <w:t>、绩效自评报告或案例</w:t>
      </w:r>
    </w:p>
    <w:p w:rsidR="006B34BD" w:rsidRDefault="004F6E30">
      <w:pPr>
        <w:pStyle w:val="Char2"/>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本单位无绩效自评报告。</w:t>
      </w:r>
    </w:p>
    <w:p w:rsidR="006B34BD" w:rsidRDefault="004F6E30">
      <w:pPr>
        <w:pStyle w:val="Char2"/>
        <w:spacing w:before="0" w:beforeAutospacing="0" w:after="0" w:afterAutospacing="0" w:line="520" w:lineRule="exact"/>
        <w:ind w:firstLineChars="200" w:firstLine="640"/>
        <w:rPr>
          <w:rFonts w:ascii="方正楷体_GBK" w:eastAsia="方正楷体_GBK" w:hAnsi="Times New Roman" w:cs="Times New Roman"/>
          <w:b/>
          <w:bCs/>
          <w:sz w:val="32"/>
          <w:szCs w:val="32"/>
        </w:rPr>
      </w:pPr>
      <w:r>
        <w:rPr>
          <w:rFonts w:ascii="方正楷体_GBK" w:eastAsia="方正楷体_GBK" w:hint="eastAsia"/>
          <w:b/>
          <w:sz w:val="32"/>
          <w:szCs w:val="32"/>
        </w:rPr>
        <w:lastRenderedPageBreak/>
        <w:t>（三）重点绩效评价结果</w:t>
      </w:r>
    </w:p>
    <w:p w:rsidR="006B34BD" w:rsidRDefault="004F6E30">
      <w:pPr>
        <w:pStyle w:val="Char2"/>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本单位无重点绩效评价结果。</w:t>
      </w:r>
    </w:p>
    <w:p w:rsidR="006B34BD" w:rsidRDefault="004F6E30">
      <w:pPr>
        <w:pStyle w:val="a6"/>
        <w:shd w:val="clear" w:color="auto" w:fill="FFFFFF"/>
        <w:spacing w:before="0" w:beforeAutospacing="0" w:after="0" w:afterAutospacing="0" w:line="520" w:lineRule="exact"/>
        <w:ind w:firstLineChars="200" w:firstLine="640"/>
        <w:rPr>
          <w:rFonts w:ascii="方正黑体_GBK" w:eastAsia="方正黑体_GBK" w:hAnsi="Times New Roman" w:cs="Times New Roman"/>
          <w:b/>
          <w:sz w:val="32"/>
          <w:szCs w:val="32"/>
        </w:rPr>
      </w:pPr>
      <w:r>
        <w:rPr>
          <w:rStyle w:val="a7"/>
          <w:rFonts w:ascii="方正黑体_GBK" w:eastAsia="方正黑体_GBK" w:cs="Times New Roman" w:hint="eastAsia"/>
          <w:b w:val="0"/>
          <w:sz w:val="32"/>
          <w:szCs w:val="32"/>
        </w:rPr>
        <w:t>六、专业名词解释</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hint="eastAsia"/>
          <w:b/>
          <w:bCs/>
          <w:sz w:val="32"/>
          <w:szCs w:val="32"/>
        </w:rPr>
        <w:t>（一）财政拨款收入</w:t>
      </w:r>
      <w:r>
        <w:rPr>
          <w:rFonts w:ascii="方正楷体_GBK" w:eastAsia="方正楷体_GBK" w:hAnsi="Times New Roman" w:cs="Times New Roman" w:hint="eastAsia"/>
          <w:sz w:val="32"/>
          <w:szCs w:val="32"/>
        </w:rPr>
        <w:t>：</w:t>
      </w:r>
      <w:r>
        <w:rPr>
          <w:rFonts w:ascii="Times New Roman" w:eastAsia="方正仿宋_GBK" w:hAnsi="Times New Roman" w:cs="Times New Roman"/>
          <w:sz w:val="32"/>
          <w:szCs w:val="32"/>
        </w:rPr>
        <w:t>指本年度从本级财政部门取得的财政拨款，包括一般公共预算财政拨款和政府性基金预算财政拨款。</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（二）事业收入：</w:t>
      </w:r>
      <w:r>
        <w:rPr>
          <w:rFonts w:ascii="Times New Roman" w:eastAsia="方正仿宋_GBK" w:hAnsi="Times New Roman" w:cs="Times New Roman"/>
          <w:sz w:val="32"/>
          <w:szCs w:val="32"/>
        </w:rPr>
        <w:t>指事业单位开展专业业务活动及其辅助活动取得的现金流入；事业单位收到的财政专户实际核拨的教育收费等资金在此反映。</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（三）经营收入：</w:t>
      </w:r>
      <w:r>
        <w:rPr>
          <w:rFonts w:ascii="Times New Roman" w:eastAsia="方正仿宋_GBK" w:hAnsi="Times New Roman" w:cs="Times New Roman"/>
          <w:sz w:val="32"/>
          <w:szCs w:val="32"/>
        </w:rPr>
        <w:t>指事业单位在专业业务活动及其辅助活动之外开展非独立核算经营活动取得的现金流入。</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（四）其他收入：</w:t>
      </w:r>
      <w:r>
        <w:rPr>
          <w:rFonts w:ascii="Times New Roman" w:eastAsia="方正仿宋_GBK" w:hAnsi="Times New Roman" w:cs="Times New Roman"/>
          <w:sz w:val="32"/>
          <w:szCs w:val="32"/>
        </w:rPr>
        <w:t>指单位取得的除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财政拨款收入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经营收入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（五）用事业基金弥补收支差额：</w:t>
      </w:r>
      <w:r>
        <w:rPr>
          <w:rFonts w:ascii="Times New Roman" w:eastAsia="方正仿宋_GBK" w:hAnsi="Times New Roman" w:cs="Times New Roman"/>
          <w:sz w:val="32"/>
          <w:szCs w:val="32"/>
        </w:rPr>
        <w:t>指事业单位在当年的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财政拨款收入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经营收入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其他收入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等不足以安排当年支出的情况下，使用以前年度积累的事业基金（事业单位当年收支相抵后按国家规定提取、用于弥补以后年度收支差额的基金）弥补本年度收支缺口的资金。</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lastRenderedPageBreak/>
        <w:t>（六）年初结转和结余：</w:t>
      </w:r>
      <w:r>
        <w:rPr>
          <w:rFonts w:ascii="Times New Roman" w:eastAsia="方正仿宋_GBK" w:hAnsi="Times New Roman" w:cs="Times New Roman"/>
          <w:sz w:val="32"/>
          <w:szCs w:val="32"/>
        </w:rPr>
        <w:t>指单位上年结转本年使用的基本支出结转、项目支出结转和结余、经营结余。</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（七）结余分配：</w:t>
      </w:r>
      <w:r>
        <w:rPr>
          <w:rFonts w:ascii="Times New Roman" w:eastAsia="方正仿宋_GBK" w:hAnsi="Times New Roman" w:cs="Times New Roman"/>
          <w:sz w:val="32"/>
          <w:szCs w:val="32"/>
        </w:rPr>
        <w:t>指单位按照国家有关规定，缴纳所得税、提取专用基金、转入事业基金等当年结余的分配情况。</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（八）年末结转和结余：</w:t>
      </w:r>
      <w:r>
        <w:rPr>
          <w:rFonts w:ascii="Times New Roman" w:eastAsia="方正仿宋_GBK" w:hAnsi="Times New Roman" w:cs="Times New Roman"/>
          <w:sz w:val="32"/>
          <w:szCs w:val="32"/>
        </w:rPr>
        <w:t>指单位结转下年的基本支出结转、项目支出结转和结余、经营结余。</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（九）基本支出：</w:t>
      </w:r>
      <w:r>
        <w:rPr>
          <w:rFonts w:ascii="Times New Roman" w:eastAsia="方正仿宋_GBK" w:hAnsi="Times New Roman" w:cs="Times New Roman"/>
          <w:sz w:val="32"/>
          <w:szCs w:val="32"/>
        </w:rPr>
        <w:t>指为保障机构正常运转、完成日常工作任务而发生的人员经费和公用经费。其中：人员经费指政府收支分类经济科目中的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工资福利支出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对个人和家庭的补助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；公用经费指政府收支分类经济科目中除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工资福利支出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对个人和家庭的补助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外的其他支出。</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（十）项目支出：</w:t>
      </w:r>
      <w:r>
        <w:rPr>
          <w:rFonts w:ascii="Times New Roman" w:eastAsia="方正仿宋_GBK" w:hAnsi="Times New Roman" w:cs="Times New Roman"/>
          <w:sz w:val="32"/>
          <w:szCs w:val="32"/>
        </w:rPr>
        <w:t>指在基本支出之外为完成特定行政任务和事业发展目标所发生的支出。</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（十一）经营支出：</w:t>
      </w:r>
      <w:r>
        <w:rPr>
          <w:rFonts w:ascii="Times New Roman" w:eastAsia="方正仿宋_GBK" w:hAnsi="Times New Roman" w:cs="Times New Roman"/>
          <w:sz w:val="32"/>
          <w:szCs w:val="32"/>
        </w:rPr>
        <w:t>指事业单位在专业业务活动及其辅助活动之外开展非独立核算经营活动发生的支出。</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（十二）</w:t>
      </w:r>
      <w:r>
        <w:rPr>
          <w:rFonts w:ascii="方正楷体_GBK" w:eastAsia="方正楷体_GBK" w:hAnsi="Times New Roman" w:cs="Times New Roman"/>
          <w:b/>
          <w:bCs/>
          <w:sz w:val="32"/>
          <w:szCs w:val="32"/>
        </w:rPr>
        <w:t>“</w:t>
      </w:r>
      <w:r>
        <w:rPr>
          <w:rFonts w:ascii="方正楷体_GBK" w:eastAsia="方正楷体_GBK" w:hAnsi="Times New Roman" w:cs="Times New Roman"/>
          <w:b/>
          <w:bCs/>
          <w:sz w:val="32"/>
          <w:szCs w:val="32"/>
        </w:rPr>
        <w:t>三公</w:t>
      </w:r>
      <w:r>
        <w:rPr>
          <w:rFonts w:ascii="方正楷体_GBK" w:eastAsia="方正楷体_GBK" w:hAnsi="Times New Roman" w:cs="Times New Roman"/>
          <w:b/>
          <w:bCs/>
          <w:sz w:val="32"/>
          <w:szCs w:val="32"/>
        </w:rPr>
        <w:t>”</w:t>
      </w:r>
      <w:r>
        <w:rPr>
          <w:rFonts w:ascii="方正楷体_GBK" w:eastAsia="方正楷体_GBK" w:hAnsi="Times New Roman" w:cs="Times New Roman"/>
          <w:b/>
          <w:bCs/>
          <w:sz w:val="32"/>
          <w:szCs w:val="32"/>
        </w:rPr>
        <w:t>经费：</w:t>
      </w:r>
      <w:r>
        <w:rPr>
          <w:rFonts w:ascii="Times New Roman" w:eastAsia="方正仿宋_GBK" w:hAnsi="Times New Roman"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（十三）机关运行经费：</w:t>
      </w:r>
      <w:r>
        <w:rPr>
          <w:rFonts w:ascii="Times New Roman" w:eastAsia="方正仿宋_GBK" w:hAnsi="Times New Roman" w:cs="Times New Roman"/>
          <w:sz w:val="32"/>
          <w:szCs w:val="32"/>
        </w:rPr>
        <w:t>为保障行政单位（含参照公务员法管理的事业单位）运行用于购买货物和服务等的各项公用经费，包括办公及印刷费、邮电费、差旅费、会议费、福利费、日常维护费、专</w:t>
      </w:r>
      <w:r>
        <w:rPr>
          <w:rFonts w:ascii="Times New Roman" w:eastAsia="方正仿宋_GBK" w:hAnsi="Times New Roman" w:cs="Times New Roman"/>
          <w:sz w:val="32"/>
          <w:szCs w:val="32"/>
        </w:rPr>
        <w:lastRenderedPageBreak/>
        <w:t>用材料及一般设备购置费、办公用房水电费、办公用房取暖费、办公用房物业管理费、公务用车运行维护费以及其他费用。</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（十四）工资福利支出（支出经济分类科目类级）：</w:t>
      </w:r>
      <w:r>
        <w:rPr>
          <w:rFonts w:ascii="Times New Roman" w:eastAsia="方正仿宋_GBK" w:hAnsi="Times New Roman" w:cs="Times New Roman"/>
          <w:sz w:val="32"/>
          <w:szCs w:val="32"/>
        </w:rPr>
        <w:t>反映单位开支的在职职工和编制外长期聘用人员的各类劳动报酬，以及为上述人员缴纳的各项社会保险费等。</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（十五）商品和服务支出（支出经济分类科目类级）：</w:t>
      </w:r>
      <w:r>
        <w:rPr>
          <w:rFonts w:ascii="Times New Roman" w:eastAsia="方正仿宋_GBK" w:hAnsi="Times New Roman" w:cs="Times New Roman"/>
          <w:sz w:val="32"/>
          <w:szCs w:val="32"/>
        </w:rPr>
        <w:t>反映单位购买商品和服务的支出（不包括用于购置固定资产的支出、战略性和应急储备支出）。</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（十六）对个人和家庭的补助（支出经济分类科目类级）：</w:t>
      </w:r>
      <w:r>
        <w:rPr>
          <w:rFonts w:ascii="Times New Roman" w:eastAsia="方正仿宋_GBK" w:hAnsi="Times New Roman" w:cs="Times New Roman"/>
          <w:sz w:val="32"/>
          <w:szCs w:val="32"/>
        </w:rPr>
        <w:t>反映用于对个人和家庭的补助支出。</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方正楷体_GBK" w:eastAsia="方正楷体_GBK" w:hAnsi="Times New Roman" w:cs="Times New Roman"/>
          <w:b/>
          <w:bCs/>
          <w:sz w:val="32"/>
          <w:szCs w:val="32"/>
        </w:rPr>
        <w:t>（十七）其他资本性支出（支出经济分类科目类级）：</w:t>
      </w:r>
      <w:r>
        <w:rPr>
          <w:rFonts w:ascii="Times New Roman" w:eastAsia="方正仿宋_GBK" w:hAnsi="Times New Roman" w:cs="Times New Roman"/>
          <w:sz w:val="32"/>
          <w:szCs w:val="32"/>
        </w:rPr>
        <w:t>反映非各级发展与改革部门集中安排的用于购置固定资产、战略性和应急性储备、土地和无形资产，以及构建基础设施、大型修缮和财政支持企业更新改造所发生的支出。</w:t>
      </w:r>
    </w:p>
    <w:p w:rsidR="006B34BD" w:rsidRDefault="004F6E30">
      <w:pPr>
        <w:pStyle w:val="a6"/>
        <w:shd w:val="clear" w:color="auto" w:fill="FFFFFF"/>
        <w:spacing w:before="0" w:beforeAutospacing="0" w:after="0" w:afterAutospacing="0" w:line="520" w:lineRule="exact"/>
        <w:ind w:firstLineChars="200" w:firstLine="640"/>
        <w:rPr>
          <w:rFonts w:ascii="方正黑体_GBK" w:eastAsia="方正黑体_GBK" w:hAnsi="Times New Roman" w:cs="Times New Roman"/>
          <w:b/>
          <w:sz w:val="32"/>
          <w:szCs w:val="32"/>
        </w:rPr>
      </w:pPr>
      <w:r>
        <w:rPr>
          <w:rStyle w:val="a7"/>
          <w:rFonts w:ascii="方正黑体_GBK" w:eastAsia="方正黑体_GBK" w:cs="Times New Roman" w:hint="eastAsia"/>
          <w:b w:val="0"/>
          <w:sz w:val="32"/>
          <w:szCs w:val="32"/>
        </w:rPr>
        <w:t>七、决算公开联系方式及信息反馈渠道</w:t>
      </w:r>
    </w:p>
    <w:p w:rsidR="006B34BD" w:rsidRDefault="004F6E30">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本单位决算公开信息反馈和联系方式：</w:t>
      </w:r>
      <w:r>
        <w:rPr>
          <w:rFonts w:ascii="Times New Roman" w:eastAsia="方正仿宋_GBK" w:hAnsi="Times New Roman" w:cs="Times New Roman"/>
          <w:sz w:val="32"/>
          <w:szCs w:val="32"/>
        </w:rPr>
        <w:t>023-44551695</w:t>
      </w:r>
    </w:p>
    <w:p w:rsidR="006B34BD" w:rsidRDefault="004F6E30">
      <w:pPr>
        <w:widowControl/>
        <w:jc w:val="left"/>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br w:type="page"/>
      </w:r>
    </w:p>
    <w:p w:rsidR="006B34BD" w:rsidRDefault="004F6E30">
      <w:pPr>
        <w:pStyle w:val="a6"/>
        <w:shd w:val="clear" w:color="auto" w:fill="FFFFFF"/>
        <w:spacing w:before="0" w:beforeAutospacing="0" w:after="0" w:afterAutospacing="0" w:line="52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附件1</w:t>
      </w:r>
    </w:p>
    <w:p w:rsidR="006B34BD" w:rsidRDefault="004F6E30">
      <w:pPr>
        <w:pStyle w:val="a6"/>
        <w:shd w:val="clear" w:color="auto" w:fill="FFFFFF"/>
        <w:spacing w:before="0" w:beforeAutospacing="0" w:after="0" w:afterAutospacing="0" w:line="520" w:lineRule="exact"/>
        <w:jc w:val="center"/>
        <w:rPr>
          <w:rFonts w:ascii="方正小标宋_GBK" w:eastAsia="方正小标宋_GBK" w:hAnsi="Times New Roman" w:cs="Times New Roman"/>
          <w:sz w:val="32"/>
          <w:szCs w:val="32"/>
        </w:rPr>
      </w:pPr>
      <w:r>
        <w:rPr>
          <w:rFonts w:ascii="方正小标宋_GBK" w:eastAsia="方正小标宋_GBK" w:hint="eastAsia"/>
          <w:color w:val="000000"/>
          <w:sz w:val="44"/>
          <w:szCs w:val="44"/>
        </w:rPr>
        <w:t>中共重庆市潼南区委办公室2019年收入支出决算总表</w:t>
      </w:r>
    </w:p>
    <w:tbl>
      <w:tblPr>
        <w:tblW w:w="14048" w:type="dxa"/>
        <w:tblInd w:w="94" w:type="dxa"/>
        <w:tblLook w:val="04A0"/>
      </w:tblPr>
      <w:tblGrid>
        <w:gridCol w:w="4267"/>
        <w:gridCol w:w="273"/>
        <w:gridCol w:w="2420"/>
        <w:gridCol w:w="3969"/>
        <w:gridCol w:w="551"/>
        <w:gridCol w:w="2568"/>
      </w:tblGrid>
      <w:tr w:rsidR="006B34BD">
        <w:trPr>
          <w:trHeight w:val="300"/>
        </w:trPr>
        <w:tc>
          <w:tcPr>
            <w:tcW w:w="4540" w:type="dxa"/>
            <w:gridSpan w:val="2"/>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242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4520" w:type="dxa"/>
            <w:gridSpan w:val="2"/>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2568"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公开01表</w:t>
            </w:r>
          </w:p>
        </w:tc>
      </w:tr>
      <w:tr w:rsidR="006B34BD">
        <w:trPr>
          <w:trHeight w:val="300"/>
        </w:trPr>
        <w:tc>
          <w:tcPr>
            <w:tcW w:w="4540" w:type="dxa"/>
            <w:gridSpan w:val="2"/>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color w:val="000000"/>
                <w:kern w:val="0"/>
                <w:sz w:val="24"/>
                <w:szCs w:val="24"/>
              </w:rPr>
            </w:pPr>
          </w:p>
        </w:tc>
        <w:tc>
          <w:tcPr>
            <w:tcW w:w="2420" w:type="dxa"/>
            <w:tcBorders>
              <w:top w:val="nil"/>
              <w:left w:val="nil"/>
              <w:bottom w:val="nil"/>
              <w:right w:val="nil"/>
            </w:tcBorders>
            <w:shd w:val="clear" w:color="auto" w:fill="auto"/>
            <w:noWrap/>
            <w:vAlign w:val="center"/>
          </w:tcPr>
          <w:p w:rsidR="006B34BD" w:rsidRDefault="006B34BD">
            <w:pPr>
              <w:widowControl/>
              <w:jc w:val="center"/>
              <w:rPr>
                <w:rFonts w:ascii="宋体" w:eastAsia="宋体" w:hAnsi="宋体" w:cs="Arial"/>
                <w:color w:val="000000"/>
                <w:kern w:val="0"/>
                <w:sz w:val="24"/>
                <w:szCs w:val="24"/>
              </w:rPr>
            </w:pPr>
          </w:p>
        </w:tc>
        <w:tc>
          <w:tcPr>
            <w:tcW w:w="4520" w:type="dxa"/>
            <w:gridSpan w:val="2"/>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2568"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单位：万元</w:t>
            </w:r>
          </w:p>
        </w:tc>
      </w:tr>
      <w:tr w:rsidR="006B34BD">
        <w:trPr>
          <w:trHeight w:val="300"/>
        </w:trPr>
        <w:tc>
          <w:tcPr>
            <w:tcW w:w="6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收入</w:t>
            </w:r>
          </w:p>
        </w:tc>
        <w:tc>
          <w:tcPr>
            <w:tcW w:w="7088" w:type="dxa"/>
            <w:gridSpan w:val="3"/>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支出</w:t>
            </w:r>
          </w:p>
        </w:tc>
      </w:tr>
      <w:tr w:rsidR="006B34BD">
        <w:trPr>
          <w:trHeight w:val="300"/>
        </w:trPr>
        <w:tc>
          <w:tcPr>
            <w:tcW w:w="4267"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项目</w:t>
            </w:r>
          </w:p>
        </w:tc>
        <w:tc>
          <w:tcPr>
            <w:tcW w:w="269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决算数</w:t>
            </w:r>
          </w:p>
        </w:tc>
        <w:tc>
          <w:tcPr>
            <w:tcW w:w="3969"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功能分类科目</w:t>
            </w:r>
          </w:p>
        </w:tc>
        <w:tc>
          <w:tcPr>
            <w:tcW w:w="3119"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决算数</w:t>
            </w:r>
          </w:p>
        </w:tc>
      </w:tr>
      <w:tr w:rsidR="006B34BD">
        <w:trPr>
          <w:trHeight w:val="300"/>
        </w:trPr>
        <w:tc>
          <w:tcPr>
            <w:tcW w:w="4267"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一、财政拨款收入</w:t>
            </w:r>
          </w:p>
        </w:tc>
        <w:tc>
          <w:tcPr>
            <w:tcW w:w="269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3969"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一、一般公共服务支出</w:t>
            </w:r>
          </w:p>
        </w:tc>
        <w:tc>
          <w:tcPr>
            <w:tcW w:w="3119"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1,257.25</w:t>
            </w: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二、上级补助收入</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二、外交支出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三、事业收入</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三、国防支出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四、经营收入</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四、公共安全支出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五、附属单位上缴收入</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五、教育支出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六、其他收入</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六、科学技术支出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七、文化旅游体育与传媒支出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八、社会保障和就业支出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165.97</w:t>
            </w: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九、卫生健康支出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53.41</w:t>
            </w: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十、节能环保支出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十一、城乡社区支出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十二、农林水支出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十三、交通运输支出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十四、资源勘探信息等支出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十五、商业服务业等支出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十六、金融支出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十七、援助其他地区支出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十八、自然资源海洋气象等支出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十九、住房保障支出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45.74</w:t>
            </w: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二十、粮油物资储备支出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二十一、灾害防治及应急管理支出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二十二、其他支出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二十三、债务还本支出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 xml:space="preserve">　</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二十四、债务付息支出</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本年收入合计</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本年支出合计</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用事业基金弥补收支差额</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结余分配</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年初结转和结余</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年末结转和结余</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6B34BD">
            <w:pPr>
              <w:widowControl/>
              <w:jc w:val="right"/>
              <w:rPr>
                <w:rFonts w:ascii="宋体" w:eastAsia="宋体" w:hAnsi="宋体" w:cs="Arial"/>
                <w:kern w:val="0"/>
                <w:sz w:val="20"/>
                <w:szCs w:val="20"/>
              </w:rPr>
            </w:pPr>
          </w:p>
        </w:tc>
      </w:tr>
      <w:tr w:rsidR="006B34BD">
        <w:trPr>
          <w:trHeight w:val="300"/>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总计</w:t>
            </w:r>
          </w:p>
        </w:tc>
        <w:tc>
          <w:tcPr>
            <w:tcW w:w="2693" w:type="dxa"/>
            <w:gridSpan w:val="2"/>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396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总计</w:t>
            </w:r>
          </w:p>
        </w:tc>
        <w:tc>
          <w:tcPr>
            <w:tcW w:w="3119" w:type="dxa"/>
            <w:gridSpan w:val="2"/>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r>
      <w:tr w:rsidR="006B34BD">
        <w:trPr>
          <w:trHeight w:val="300"/>
        </w:trPr>
        <w:tc>
          <w:tcPr>
            <w:tcW w:w="14048" w:type="dxa"/>
            <w:gridSpan w:val="6"/>
            <w:tcBorders>
              <w:top w:val="nil"/>
              <w:left w:val="nil"/>
              <w:bottom w:val="nil"/>
              <w:right w:val="nil"/>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备注：本表反映部门本年度的总收支和年末结转结余等情况。 </w:t>
            </w:r>
          </w:p>
        </w:tc>
      </w:tr>
    </w:tbl>
    <w:p w:rsidR="006B34BD" w:rsidRDefault="006B34BD">
      <w:pPr>
        <w:pStyle w:val="a6"/>
        <w:shd w:val="clear" w:color="auto" w:fill="FFFFFF"/>
        <w:spacing w:before="0" w:beforeAutospacing="0" w:after="0" w:afterAutospacing="0" w:line="520" w:lineRule="exact"/>
        <w:ind w:firstLineChars="200" w:firstLine="640"/>
        <w:rPr>
          <w:rFonts w:ascii="Times New Roman" w:eastAsia="方正仿宋_GBK" w:hAnsi="Times New Roman" w:cs="Times New Roman"/>
          <w:sz w:val="32"/>
          <w:szCs w:val="32"/>
        </w:rPr>
      </w:pPr>
    </w:p>
    <w:p w:rsidR="006B34BD" w:rsidRDefault="004F6E30">
      <w:pPr>
        <w:widowControl/>
        <w:jc w:val="left"/>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br w:type="page"/>
      </w:r>
    </w:p>
    <w:p w:rsidR="006B34BD" w:rsidRDefault="004F6E30">
      <w:pPr>
        <w:pStyle w:val="a6"/>
        <w:shd w:val="clear" w:color="auto" w:fill="FFFFFF"/>
        <w:spacing w:before="0" w:beforeAutospacing="0" w:after="0" w:afterAutospacing="0" w:line="52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附件2</w:t>
      </w:r>
    </w:p>
    <w:p w:rsidR="006B34BD" w:rsidRDefault="004F6E30">
      <w:pPr>
        <w:pStyle w:val="a6"/>
        <w:shd w:val="clear" w:color="auto" w:fill="FFFFFF"/>
        <w:spacing w:before="0" w:beforeAutospacing="0" w:after="0" w:afterAutospacing="0" w:line="520" w:lineRule="exact"/>
        <w:jc w:val="center"/>
        <w:rPr>
          <w:rFonts w:ascii="Times New Roman" w:eastAsia="方正仿宋_GBK" w:hAnsi="Times New Roman" w:cs="Times New Roman"/>
          <w:sz w:val="32"/>
          <w:szCs w:val="32"/>
        </w:rPr>
      </w:pPr>
      <w:r>
        <w:rPr>
          <w:rFonts w:ascii="方正小标宋_GBK" w:eastAsia="方正小标宋_GBK" w:hint="eastAsia"/>
          <w:color w:val="000000"/>
          <w:sz w:val="44"/>
          <w:szCs w:val="44"/>
        </w:rPr>
        <w:t>中共重庆市潼南区委办公室2019年收入决算表</w:t>
      </w:r>
    </w:p>
    <w:tbl>
      <w:tblPr>
        <w:tblW w:w="13908" w:type="dxa"/>
        <w:tblInd w:w="94" w:type="dxa"/>
        <w:tblLook w:val="04A0"/>
      </w:tblPr>
      <w:tblGrid>
        <w:gridCol w:w="360"/>
        <w:gridCol w:w="360"/>
        <w:gridCol w:w="360"/>
        <w:gridCol w:w="3187"/>
        <w:gridCol w:w="1559"/>
        <w:gridCol w:w="1559"/>
        <w:gridCol w:w="851"/>
        <w:gridCol w:w="800"/>
        <w:gridCol w:w="1260"/>
        <w:gridCol w:w="1058"/>
        <w:gridCol w:w="1134"/>
        <w:gridCol w:w="1420"/>
      </w:tblGrid>
      <w:tr w:rsidR="006B34BD">
        <w:trPr>
          <w:trHeight w:val="300"/>
        </w:trPr>
        <w:tc>
          <w:tcPr>
            <w:tcW w:w="36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36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36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3187"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559"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559"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851"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80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26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058"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134"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420"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公开02表</w:t>
            </w:r>
          </w:p>
        </w:tc>
      </w:tr>
      <w:tr w:rsidR="006B34BD">
        <w:trPr>
          <w:trHeight w:val="300"/>
        </w:trPr>
        <w:tc>
          <w:tcPr>
            <w:tcW w:w="4267" w:type="dxa"/>
            <w:gridSpan w:val="4"/>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color w:val="000000"/>
                <w:kern w:val="0"/>
                <w:sz w:val="24"/>
                <w:szCs w:val="24"/>
              </w:rPr>
            </w:pPr>
          </w:p>
        </w:tc>
        <w:tc>
          <w:tcPr>
            <w:tcW w:w="1559"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559" w:type="dxa"/>
            <w:tcBorders>
              <w:top w:val="nil"/>
              <w:left w:val="nil"/>
              <w:bottom w:val="nil"/>
              <w:right w:val="nil"/>
            </w:tcBorders>
            <w:shd w:val="clear" w:color="auto" w:fill="auto"/>
            <w:noWrap/>
            <w:vAlign w:val="center"/>
          </w:tcPr>
          <w:p w:rsidR="006B34BD" w:rsidRDefault="006B34BD">
            <w:pPr>
              <w:widowControl/>
              <w:jc w:val="center"/>
              <w:rPr>
                <w:rFonts w:ascii="宋体" w:eastAsia="宋体" w:hAnsi="宋体" w:cs="Arial"/>
                <w:color w:val="000000"/>
                <w:kern w:val="0"/>
                <w:sz w:val="24"/>
                <w:szCs w:val="24"/>
              </w:rPr>
            </w:pPr>
          </w:p>
        </w:tc>
        <w:tc>
          <w:tcPr>
            <w:tcW w:w="851"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80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26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058"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134"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420"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单位：万元</w:t>
            </w:r>
          </w:p>
        </w:tc>
      </w:tr>
      <w:tr w:rsidR="006B34BD">
        <w:trPr>
          <w:trHeight w:val="300"/>
        </w:trPr>
        <w:tc>
          <w:tcPr>
            <w:tcW w:w="42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项目</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本年收入合计</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财政拨款收入</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上级补助收入</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事业收入</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经营收入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附属单位上缴收入</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其他收入</w:t>
            </w:r>
          </w:p>
        </w:tc>
      </w:tr>
      <w:tr w:rsidR="006B34BD">
        <w:trPr>
          <w:trHeight w:val="312"/>
        </w:trPr>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功能分类科目编码</w:t>
            </w:r>
          </w:p>
        </w:tc>
        <w:tc>
          <w:tcPr>
            <w:tcW w:w="3187" w:type="dxa"/>
            <w:vMerge w:val="restart"/>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项目（按“项”级功能分类科目）</w:t>
            </w:r>
          </w:p>
        </w:tc>
        <w:tc>
          <w:tcPr>
            <w:tcW w:w="1559"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312"/>
        </w:trPr>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3187"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小计</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其中：教育收费</w:t>
            </w:r>
          </w:p>
        </w:tc>
        <w:tc>
          <w:tcPr>
            <w:tcW w:w="105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312"/>
        </w:trPr>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3187"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800"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260"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300"/>
        </w:trPr>
        <w:tc>
          <w:tcPr>
            <w:tcW w:w="4267" w:type="dxa"/>
            <w:gridSpan w:val="4"/>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合计</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18"/>
                <w:szCs w:val="18"/>
              </w:rPr>
            </w:pPr>
            <w:r>
              <w:rPr>
                <w:rFonts w:ascii="宋体" w:eastAsia="宋体" w:hAnsi="宋体" w:cs="Arial" w:hint="eastAsia"/>
                <w:b/>
                <w:bCs/>
                <w:kern w:val="0"/>
                <w:sz w:val="18"/>
                <w:szCs w:val="18"/>
              </w:rPr>
              <w:t>一般公共服务支出</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1,257.25</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1,257.25</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20131</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18"/>
                <w:szCs w:val="18"/>
              </w:rPr>
            </w:pPr>
            <w:r>
              <w:rPr>
                <w:rFonts w:ascii="宋体" w:eastAsia="宋体" w:hAnsi="宋体" w:cs="Arial" w:hint="eastAsia"/>
                <w:b/>
                <w:bCs/>
                <w:kern w:val="0"/>
                <w:sz w:val="18"/>
                <w:szCs w:val="18"/>
              </w:rPr>
              <w:t>党委办公厅（室）及相关机构事务</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1,257.25</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1,257.25</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2013101</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行政运行</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702.43</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702.43</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2013102</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一般行政管理事务</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284.00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284.00</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2013150</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事业运行</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222.82</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222.82</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2013199</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其他党委办公厅（室）及相关机构事务支出</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48.00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48.00</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社会保障和就业支出</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165.98</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165.98</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20805</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行政事业单位离退休</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163.58</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163.58</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2080505</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机关事业单位基本养老保险缴费支出</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68.23</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68.23</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2080506</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机关事业单位职业年金缴费支出</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27.29</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27.29</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2080599</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其他行政事业单位离退休支出</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68.06</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68.06</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20808</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抚恤</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2.40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2.40</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2080801</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死亡抚恤</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2.40</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卫生健康支出</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21011</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行政事业单位医疗</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2101101</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行政单位医疗</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31.40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31.40</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2101102</w:t>
            </w:r>
          </w:p>
        </w:tc>
        <w:tc>
          <w:tcPr>
            <w:tcW w:w="3187"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事业单位医疗</w:t>
            </w:r>
          </w:p>
        </w:tc>
        <w:tc>
          <w:tcPr>
            <w:tcW w:w="1559"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8.81</w:t>
            </w:r>
          </w:p>
        </w:tc>
        <w:tc>
          <w:tcPr>
            <w:tcW w:w="1559"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8.81</w:t>
            </w:r>
          </w:p>
        </w:tc>
        <w:tc>
          <w:tcPr>
            <w:tcW w:w="851"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2101103</w:t>
            </w:r>
          </w:p>
        </w:tc>
        <w:tc>
          <w:tcPr>
            <w:tcW w:w="3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公务员医疗补助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10.76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10.76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2101199</w:t>
            </w:r>
          </w:p>
        </w:tc>
        <w:tc>
          <w:tcPr>
            <w:tcW w:w="3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其他行政事业单位医疗支出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221</w:t>
            </w:r>
          </w:p>
        </w:tc>
        <w:tc>
          <w:tcPr>
            <w:tcW w:w="3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住房保障支出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1080"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22102</w:t>
            </w:r>
          </w:p>
        </w:tc>
        <w:tc>
          <w:tcPr>
            <w:tcW w:w="3187"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住房改革支出</w:t>
            </w:r>
          </w:p>
        </w:tc>
        <w:tc>
          <w:tcPr>
            <w:tcW w:w="1559"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559"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851"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800"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058"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20"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2210201</w:t>
            </w:r>
          </w:p>
        </w:tc>
        <w:tc>
          <w:tcPr>
            <w:tcW w:w="318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住房公积金</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45.74</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45.74</w:t>
            </w:r>
          </w:p>
        </w:tc>
        <w:tc>
          <w:tcPr>
            <w:tcW w:w="85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5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3908" w:type="dxa"/>
            <w:gridSpan w:val="12"/>
            <w:tcBorders>
              <w:top w:val="nil"/>
              <w:left w:val="nil"/>
              <w:bottom w:val="nil"/>
              <w:right w:val="nil"/>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备注：本表反映部门本年度取得的各项收入情况。</w:t>
            </w:r>
          </w:p>
        </w:tc>
      </w:tr>
    </w:tbl>
    <w:p w:rsidR="006B34BD" w:rsidRDefault="006B34BD">
      <w:pPr>
        <w:spacing w:line="560" w:lineRule="exact"/>
        <w:ind w:firstLineChars="200" w:firstLine="640"/>
        <w:rPr>
          <w:rFonts w:ascii="Times New Roman" w:hAnsi="Times New Roman" w:cs="Times New Roman"/>
          <w:sz w:val="32"/>
          <w:szCs w:val="32"/>
        </w:rPr>
      </w:pPr>
    </w:p>
    <w:p w:rsidR="006B34BD" w:rsidRDefault="004F6E30">
      <w:pPr>
        <w:widowControl/>
        <w:jc w:val="left"/>
        <w:rPr>
          <w:rFonts w:ascii="Times New Roman" w:hAnsi="Times New Roman" w:cs="Times New Roman"/>
          <w:sz w:val="32"/>
          <w:szCs w:val="32"/>
        </w:rPr>
      </w:pPr>
      <w:r>
        <w:rPr>
          <w:rFonts w:ascii="Times New Roman" w:hAnsi="Times New Roman" w:cs="Times New Roman"/>
          <w:sz w:val="32"/>
          <w:szCs w:val="32"/>
        </w:rPr>
        <w:br w:type="page"/>
      </w:r>
    </w:p>
    <w:p w:rsidR="006B34BD" w:rsidRDefault="004F6E30">
      <w:pPr>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附件3</w:t>
      </w:r>
    </w:p>
    <w:tbl>
      <w:tblPr>
        <w:tblW w:w="13765" w:type="dxa"/>
        <w:tblInd w:w="94" w:type="dxa"/>
        <w:tblLook w:val="04A0"/>
      </w:tblPr>
      <w:tblGrid>
        <w:gridCol w:w="363"/>
        <w:gridCol w:w="283"/>
        <w:gridCol w:w="270"/>
        <w:gridCol w:w="4343"/>
        <w:gridCol w:w="1701"/>
        <w:gridCol w:w="1728"/>
        <w:gridCol w:w="1390"/>
        <w:gridCol w:w="992"/>
        <w:gridCol w:w="927"/>
        <w:gridCol w:w="1768"/>
      </w:tblGrid>
      <w:tr w:rsidR="006B34BD">
        <w:trPr>
          <w:trHeight w:val="555"/>
        </w:trPr>
        <w:tc>
          <w:tcPr>
            <w:tcW w:w="13765" w:type="dxa"/>
            <w:gridSpan w:val="10"/>
            <w:tcBorders>
              <w:top w:val="nil"/>
              <w:left w:val="nil"/>
              <w:bottom w:val="nil"/>
              <w:right w:val="nil"/>
            </w:tcBorders>
            <w:shd w:val="clear" w:color="auto" w:fill="auto"/>
            <w:noWrap/>
            <w:vAlign w:val="center"/>
          </w:tcPr>
          <w:p w:rsidR="006B34BD" w:rsidRDefault="004F6E30">
            <w:pPr>
              <w:widowControl/>
              <w:spacing w:line="600" w:lineRule="exact"/>
              <w:jc w:val="center"/>
              <w:rPr>
                <w:rFonts w:ascii="黑体" w:eastAsia="黑体" w:hAnsi="黑体" w:cs="Arial"/>
                <w:color w:val="000000"/>
                <w:kern w:val="0"/>
                <w:sz w:val="44"/>
                <w:szCs w:val="44"/>
              </w:rPr>
            </w:pPr>
            <w:r>
              <w:rPr>
                <w:rFonts w:ascii="方正小标宋_GBK" w:eastAsia="方正小标宋_GBK" w:hint="eastAsia"/>
                <w:color w:val="000000"/>
                <w:sz w:val="44"/>
                <w:szCs w:val="44"/>
              </w:rPr>
              <w:t>中共重庆市潼南区委办公室2019年支出决算表</w:t>
            </w:r>
          </w:p>
        </w:tc>
      </w:tr>
      <w:tr w:rsidR="006B34BD">
        <w:trPr>
          <w:trHeight w:val="300"/>
        </w:trPr>
        <w:tc>
          <w:tcPr>
            <w:tcW w:w="363"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283"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27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4343"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701"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728"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39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992"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927"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768"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公开03表</w:t>
            </w:r>
          </w:p>
        </w:tc>
      </w:tr>
      <w:tr w:rsidR="006B34BD">
        <w:trPr>
          <w:trHeight w:val="300"/>
        </w:trPr>
        <w:tc>
          <w:tcPr>
            <w:tcW w:w="5259" w:type="dxa"/>
            <w:gridSpan w:val="4"/>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color w:val="000000"/>
                <w:kern w:val="0"/>
                <w:sz w:val="24"/>
                <w:szCs w:val="24"/>
              </w:rPr>
            </w:pPr>
          </w:p>
        </w:tc>
        <w:tc>
          <w:tcPr>
            <w:tcW w:w="1701" w:type="dxa"/>
            <w:tcBorders>
              <w:top w:val="nil"/>
              <w:left w:val="nil"/>
              <w:bottom w:val="nil"/>
              <w:right w:val="nil"/>
            </w:tcBorders>
            <w:shd w:val="clear" w:color="auto" w:fill="auto"/>
            <w:noWrap/>
            <w:vAlign w:val="center"/>
          </w:tcPr>
          <w:p w:rsidR="006B34BD" w:rsidRDefault="006B34BD">
            <w:pPr>
              <w:widowControl/>
              <w:jc w:val="center"/>
              <w:rPr>
                <w:rFonts w:ascii="宋体" w:eastAsia="宋体" w:hAnsi="宋体" w:cs="Arial"/>
                <w:color w:val="000000"/>
                <w:kern w:val="0"/>
                <w:sz w:val="24"/>
                <w:szCs w:val="24"/>
              </w:rPr>
            </w:pPr>
          </w:p>
        </w:tc>
        <w:tc>
          <w:tcPr>
            <w:tcW w:w="1728"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39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992"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927"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768"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单位：万元</w:t>
            </w:r>
          </w:p>
        </w:tc>
      </w:tr>
      <w:tr w:rsidR="006B34BD">
        <w:trPr>
          <w:trHeight w:val="300"/>
        </w:trPr>
        <w:tc>
          <w:tcPr>
            <w:tcW w:w="52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项目</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本年支出合计</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基本支出</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项目支出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上缴上级支出</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经营支出</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对附属单位补助支出</w:t>
            </w:r>
          </w:p>
        </w:tc>
      </w:tr>
      <w:tr w:rsidR="006B34BD">
        <w:trPr>
          <w:trHeight w:val="312"/>
        </w:trPr>
        <w:tc>
          <w:tcPr>
            <w:tcW w:w="9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功能分类科目编码</w:t>
            </w:r>
          </w:p>
        </w:tc>
        <w:tc>
          <w:tcPr>
            <w:tcW w:w="4343" w:type="dxa"/>
            <w:vMerge w:val="restart"/>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项目（按“项”级功能分类科目）</w:t>
            </w:r>
          </w:p>
        </w:tc>
        <w:tc>
          <w:tcPr>
            <w:tcW w:w="1701"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390"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76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312"/>
        </w:trPr>
        <w:tc>
          <w:tcPr>
            <w:tcW w:w="916" w:type="dxa"/>
            <w:gridSpan w:val="3"/>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4343"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390"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76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312"/>
        </w:trPr>
        <w:tc>
          <w:tcPr>
            <w:tcW w:w="916" w:type="dxa"/>
            <w:gridSpan w:val="3"/>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4343"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390"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76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300"/>
        </w:trPr>
        <w:tc>
          <w:tcPr>
            <w:tcW w:w="5259" w:type="dxa"/>
            <w:gridSpan w:val="4"/>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合计</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1,190.37</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332.00</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18"/>
                <w:szCs w:val="18"/>
              </w:rPr>
            </w:pPr>
            <w:r>
              <w:rPr>
                <w:rFonts w:ascii="宋体" w:eastAsia="宋体" w:hAnsi="宋体" w:cs="Arial" w:hint="eastAsia"/>
                <w:b/>
                <w:bCs/>
                <w:kern w:val="0"/>
                <w:sz w:val="18"/>
                <w:szCs w:val="18"/>
              </w:rPr>
              <w:t>一般公共服务支出</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1,257.25</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925.25</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332.00</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20131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18"/>
                <w:szCs w:val="18"/>
              </w:rPr>
            </w:pPr>
            <w:r>
              <w:rPr>
                <w:rFonts w:ascii="宋体" w:eastAsia="宋体" w:hAnsi="宋体" w:cs="Arial" w:hint="eastAsia"/>
                <w:b/>
                <w:bCs/>
                <w:kern w:val="0"/>
                <w:sz w:val="18"/>
                <w:szCs w:val="18"/>
              </w:rPr>
              <w:t>党委办公厅（室）及相关机构事务</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1,257.25</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925.25</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332.00</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2013101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行政运行</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702.43</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702.43</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2013102</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一般行政管理事务</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284.00</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284.00</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2013150</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事业运行</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222.82</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222.82</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2013199</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其他党委办公厅（室）及相关机构事务支出</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48.00</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48.00</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社会保障和就业支出</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165.98</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165.98</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20805</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行政事业单位离退休</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163.58</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163.58</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2080505</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机关事业单位基本养老保险缴费支出</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68.23</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68.23</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2080506</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机关事业单位职业年金缴费支出</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27.29</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27.29</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2080599</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其他行政事业单位离退休支出</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68.06</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68.06</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20808</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抚恤</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2.40</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2.40</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2080801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死亡抚恤</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2.40</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2.40</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卫生健康支出</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21011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行政事业单位医疗</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2101101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行政单位医疗</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31.40</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31.40</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2101102</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事业单位医疗</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8.81</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8.81</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2101103</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公务员医疗补助</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10.76</w:t>
            </w:r>
          </w:p>
        </w:tc>
        <w:tc>
          <w:tcPr>
            <w:tcW w:w="172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10.76</w:t>
            </w:r>
          </w:p>
        </w:tc>
        <w:tc>
          <w:tcPr>
            <w:tcW w:w="139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2101199</w:t>
            </w:r>
          </w:p>
        </w:tc>
        <w:tc>
          <w:tcPr>
            <w:tcW w:w="4343"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其他行政事业单位医疗支出</w:t>
            </w:r>
          </w:p>
        </w:tc>
        <w:tc>
          <w:tcPr>
            <w:tcW w:w="1701"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2.44</w:t>
            </w:r>
          </w:p>
        </w:tc>
        <w:tc>
          <w:tcPr>
            <w:tcW w:w="1728"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2.44</w:t>
            </w:r>
          </w:p>
        </w:tc>
        <w:tc>
          <w:tcPr>
            <w:tcW w:w="1390"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2"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lastRenderedPageBreak/>
              <w:t>221</w:t>
            </w:r>
          </w:p>
        </w:tc>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住房保障支出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22102</w:t>
            </w:r>
          </w:p>
        </w:tc>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住房改革支出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2210201</w:t>
            </w:r>
          </w:p>
        </w:tc>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住房公积金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45.74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45.74</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3765" w:type="dxa"/>
            <w:gridSpan w:val="10"/>
            <w:tcBorders>
              <w:top w:val="single" w:sz="4" w:space="0" w:color="auto"/>
              <w:left w:val="nil"/>
              <w:bottom w:val="nil"/>
              <w:right w:val="nil"/>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备注：本表反映部门本年度各项支出情况。</w:t>
            </w:r>
          </w:p>
        </w:tc>
      </w:tr>
    </w:tbl>
    <w:p w:rsidR="006B34BD" w:rsidRDefault="006B34BD">
      <w:pPr>
        <w:spacing w:line="560" w:lineRule="exact"/>
        <w:ind w:firstLineChars="200" w:firstLine="640"/>
        <w:rPr>
          <w:rFonts w:ascii="Times New Roman" w:hAnsi="Times New Roman" w:cs="Times New Roman"/>
          <w:sz w:val="32"/>
          <w:szCs w:val="32"/>
        </w:rPr>
      </w:pPr>
    </w:p>
    <w:p w:rsidR="006B34BD" w:rsidRDefault="004F6E30">
      <w:pPr>
        <w:widowControl/>
        <w:jc w:val="left"/>
        <w:rPr>
          <w:rFonts w:ascii="Times New Roman" w:hAnsi="Times New Roman" w:cs="Times New Roman"/>
          <w:sz w:val="32"/>
          <w:szCs w:val="32"/>
        </w:rPr>
      </w:pPr>
      <w:r>
        <w:rPr>
          <w:rFonts w:ascii="Times New Roman" w:hAnsi="Times New Roman" w:cs="Times New Roman"/>
          <w:sz w:val="32"/>
          <w:szCs w:val="32"/>
        </w:rPr>
        <w:br w:type="page"/>
      </w:r>
    </w:p>
    <w:p w:rsidR="006B34BD" w:rsidRDefault="004F6E30">
      <w:pPr>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附件4</w:t>
      </w:r>
    </w:p>
    <w:tbl>
      <w:tblPr>
        <w:tblW w:w="14048" w:type="dxa"/>
        <w:tblInd w:w="94" w:type="dxa"/>
        <w:tblLook w:val="04A0"/>
      </w:tblPr>
      <w:tblGrid>
        <w:gridCol w:w="3416"/>
        <w:gridCol w:w="1985"/>
        <w:gridCol w:w="3544"/>
        <w:gridCol w:w="141"/>
        <w:gridCol w:w="1276"/>
        <w:gridCol w:w="142"/>
        <w:gridCol w:w="1701"/>
        <w:gridCol w:w="268"/>
        <w:gridCol w:w="1575"/>
      </w:tblGrid>
      <w:tr w:rsidR="006B34BD">
        <w:trPr>
          <w:trHeight w:val="555"/>
        </w:trPr>
        <w:tc>
          <w:tcPr>
            <w:tcW w:w="14048" w:type="dxa"/>
            <w:gridSpan w:val="9"/>
            <w:tcBorders>
              <w:top w:val="nil"/>
              <w:left w:val="nil"/>
              <w:bottom w:val="nil"/>
              <w:right w:val="nil"/>
            </w:tcBorders>
            <w:shd w:val="clear" w:color="auto" w:fill="auto"/>
            <w:noWrap/>
            <w:vAlign w:val="center"/>
          </w:tcPr>
          <w:p w:rsidR="006B34BD" w:rsidRDefault="004F6E30">
            <w:pPr>
              <w:widowControl/>
              <w:jc w:val="center"/>
              <w:rPr>
                <w:rFonts w:ascii="黑体" w:eastAsia="黑体" w:hAnsi="黑体" w:cs="Arial"/>
                <w:color w:val="000000"/>
                <w:kern w:val="0"/>
                <w:sz w:val="44"/>
                <w:szCs w:val="44"/>
              </w:rPr>
            </w:pPr>
            <w:r>
              <w:rPr>
                <w:rFonts w:ascii="方正小标宋_GBK" w:eastAsia="方正小标宋_GBK" w:hint="eastAsia"/>
                <w:color w:val="000000"/>
                <w:sz w:val="44"/>
                <w:szCs w:val="44"/>
              </w:rPr>
              <w:t>中共重庆市潼南区委办公室2019年财政拨款收入支出决算总表</w:t>
            </w:r>
          </w:p>
        </w:tc>
      </w:tr>
      <w:tr w:rsidR="006B34BD">
        <w:trPr>
          <w:trHeight w:val="300"/>
        </w:trPr>
        <w:tc>
          <w:tcPr>
            <w:tcW w:w="3416"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985"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3685" w:type="dxa"/>
            <w:gridSpan w:val="2"/>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418" w:type="dxa"/>
            <w:gridSpan w:val="2"/>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969" w:type="dxa"/>
            <w:gridSpan w:val="2"/>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575"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公开04表</w:t>
            </w:r>
          </w:p>
        </w:tc>
      </w:tr>
      <w:tr w:rsidR="006B34BD">
        <w:trPr>
          <w:trHeight w:val="300"/>
        </w:trPr>
        <w:tc>
          <w:tcPr>
            <w:tcW w:w="5401" w:type="dxa"/>
            <w:gridSpan w:val="2"/>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color w:val="000000"/>
                <w:kern w:val="0"/>
                <w:sz w:val="24"/>
                <w:szCs w:val="24"/>
              </w:rPr>
            </w:pPr>
          </w:p>
        </w:tc>
        <w:tc>
          <w:tcPr>
            <w:tcW w:w="3685" w:type="dxa"/>
            <w:gridSpan w:val="2"/>
            <w:tcBorders>
              <w:top w:val="nil"/>
              <w:left w:val="nil"/>
              <w:bottom w:val="nil"/>
              <w:right w:val="nil"/>
            </w:tcBorders>
            <w:shd w:val="clear" w:color="auto" w:fill="auto"/>
            <w:noWrap/>
            <w:vAlign w:val="center"/>
          </w:tcPr>
          <w:p w:rsidR="006B34BD" w:rsidRDefault="006B34BD">
            <w:pPr>
              <w:widowControl/>
              <w:jc w:val="center"/>
              <w:rPr>
                <w:rFonts w:ascii="宋体" w:eastAsia="宋体" w:hAnsi="宋体" w:cs="Arial"/>
                <w:color w:val="000000"/>
                <w:kern w:val="0"/>
                <w:sz w:val="24"/>
                <w:szCs w:val="24"/>
              </w:rPr>
            </w:pPr>
          </w:p>
        </w:tc>
        <w:tc>
          <w:tcPr>
            <w:tcW w:w="1418" w:type="dxa"/>
            <w:gridSpan w:val="2"/>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969" w:type="dxa"/>
            <w:gridSpan w:val="2"/>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575"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单位：万元</w:t>
            </w:r>
          </w:p>
        </w:tc>
      </w:tr>
      <w:tr w:rsidR="006B34BD">
        <w:trPr>
          <w:trHeight w:val="300"/>
        </w:trPr>
        <w:tc>
          <w:tcPr>
            <w:tcW w:w="5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收     入</w:t>
            </w:r>
          </w:p>
        </w:tc>
        <w:tc>
          <w:tcPr>
            <w:tcW w:w="8647" w:type="dxa"/>
            <w:gridSpan w:val="7"/>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支     出</w:t>
            </w:r>
          </w:p>
        </w:tc>
      </w:tr>
      <w:tr w:rsidR="006B34BD">
        <w:trPr>
          <w:trHeight w:val="285"/>
        </w:trPr>
        <w:tc>
          <w:tcPr>
            <w:tcW w:w="3416"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    目</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决算数</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功能分类科目</w:t>
            </w:r>
          </w:p>
        </w:tc>
        <w:tc>
          <w:tcPr>
            <w:tcW w:w="5103" w:type="dxa"/>
            <w:gridSpan w:val="6"/>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决算数</w:t>
            </w:r>
          </w:p>
        </w:tc>
      </w:tr>
      <w:tr w:rsidR="006B34BD">
        <w:trPr>
          <w:trHeight w:val="600"/>
        </w:trPr>
        <w:tc>
          <w:tcPr>
            <w:tcW w:w="3416"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985"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3544"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小计</w:t>
            </w:r>
          </w:p>
        </w:tc>
        <w:tc>
          <w:tcPr>
            <w:tcW w:w="1843" w:type="dxa"/>
            <w:gridSpan w:val="2"/>
            <w:tcBorders>
              <w:top w:val="nil"/>
              <w:left w:val="nil"/>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一般公共预算财政拨款</w:t>
            </w:r>
          </w:p>
        </w:tc>
        <w:tc>
          <w:tcPr>
            <w:tcW w:w="1843" w:type="dxa"/>
            <w:gridSpan w:val="2"/>
            <w:tcBorders>
              <w:top w:val="nil"/>
              <w:left w:val="nil"/>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政府性基金预算财政拨款</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一、一般公共预算财政拨款</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一、一般公共服务支出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1,257.25</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1,257.25</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二、政府性基金预算财政拨款</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二、外交支出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三、国防支出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四、公共安全支出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五、教育支出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六、科学技术支出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七、文化旅游体育与传媒支出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八、社会保障和就业支出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165.97</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165.97</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九、卫生健康支出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53.41</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53.41</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十、节能环保支出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十一、城乡社区支出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十二、农林水支出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十三、交通运输支出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十四、资源勘探信息等支出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十五、商业服务业等支出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十六、金融支出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十七、援助其他地区支出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十八、自然资源海洋气象等支出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十九、住房保障支出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45.74</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45.74</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二十、粮油物资储备支出</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二十一、灾害防治及应急管理支出</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二十二、其他支出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二十三、债务还本支出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二十四、债务付息支出</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本年收入合计</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本年支出合计</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年初财政拨款结转和结余</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年末财政拨款结转和结余</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一、一般公共预算财政拨款</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二、政府性基金预算财政拨款</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总计</w:t>
            </w:r>
          </w:p>
        </w:tc>
        <w:tc>
          <w:tcPr>
            <w:tcW w:w="1985"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354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总计</w:t>
            </w:r>
          </w:p>
        </w:tc>
        <w:tc>
          <w:tcPr>
            <w:tcW w:w="1417"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1843" w:type="dxa"/>
            <w:gridSpan w:val="2"/>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4048" w:type="dxa"/>
            <w:gridSpan w:val="9"/>
            <w:tcBorders>
              <w:top w:val="nil"/>
              <w:left w:val="nil"/>
              <w:bottom w:val="nil"/>
              <w:right w:val="nil"/>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备注：本表反映部门本年度一般公共预算财政拨款和政府性基金预算财政拨款的总收支和年末结转结余情况。</w:t>
            </w:r>
          </w:p>
        </w:tc>
      </w:tr>
    </w:tbl>
    <w:p w:rsidR="006B34BD" w:rsidRDefault="006B34BD">
      <w:pPr>
        <w:spacing w:line="560" w:lineRule="exact"/>
        <w:ind w:firstLineChars="200" w:firstLine="640"/>
        <w:rPr>
          <w:rFonts w:ascii="Times New Roman" w:hAnsi="Times New Roman" w:cs="Times New Roman"/>
          <w:sz w:val="32"/>
          <w:szCs w:val="32"/>
        </w:rPr>
      </w:pPr>
    </w:p>
    <w:p w:rsidR="006B34BD" w:rsidRDefault="004F6E30">
      <w:pPr>
        <w:widowControl/>
        <w:jc w:val="left"/>
        <w:rPr>
          <w:rFonts w:ascii="Times New Roman" w:hAnsi="Times New Roman" w:cs="Times New Roman"/>
          <w:sz w:val="32"/>
          <w:szCs w:val="32"/>
        </w:rPr>
      </w:pPr>
      <w:r>
        <w:rPr>
          <w:rFonts w:ascii="Times New Roman" w:hAnsi="Times New Roman" w:cs="Times New Roman"/>
          <w:sz w:val="32"/>
          <w:szCs w:val="32"/>
        </w:rPr>
        <w:br w:type="page"/>
      </w:r>
    </w:p>
    <w:p w:rsidR="006B34BD" w:rsidRDefault="004F6E30">
      <w:pPr>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附件5</w:t>
      </w:r>
    </w:p>
    <w:tbl>
      <w:tblPr>
        <w:tblW w:w="14048" w:type="dxa"/>
        <w:tblInd w:w="94" w:type="dxa"/>
        <w:tblLook w:val="04A0"/>
      </w:tblPr>
      <w:tblGrid>
        <w:gridCol w:w="363"/>
        <w:gridCol w:w="283"/>
        <w:gridCol w:w="270"/>
        <w:gridCol w:w="4343"/>
        <w:gridCol w:w="992"/>
        <w:gridCol w:w="1418"/>
        <w:gridCol w:w="1559"/>
        <w:gridCol w:w="1559"/>
        <w:gridCol w:w="1613"/>
        <w:gridCol w:w="1648"/>
      </w:tblGrid>
      <w:tr w:rsidR="006B34BD">
        <w:trPr>
          <w:trHeight w:val="555"/>
        </w:trPr>
        <w:tc>
          <w:tcPr>
            <w:tcW w:w="14048" w:type="dxa"/>
            <w:gridSpan w:val="10"/>
            <w:tcBorders>
              <w:top w:val="nil"/>
              <w:left w:val="nil"/>
              <w:bottom w:val="nil"/>
              <w:right w:val="nil"/>
            </w:tcBorders>
            <w:shd w:val="clear" w:color="auto" w:fill="auto"/>
            <w:noWrap/>
            <w:vAlign w:val="center"/>
          </w:tcPr>
          <w:p w:rsidR="006B34BD" w:rsidRDefault="004F6E30">
            <w:pPr>
              <w:widowControl/>
              <w:spacing w:line="5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中共重庆市潼南区委办公室</w:t>
            </w:r>
          </w:p>
          <w:p w:rsidR="006B34BD" w:rsidRDefault="004F6E30">
            <w:pPr>
              <w:widowControl/>
              <w:spacing w:line="560" w:lineRule="exact"/>
              <w:jc w:val="center"/>
              <w:rPr>
                <w:rFonts w:ascii="黑体" w:eastAsia="黑体" w:hAnsi="黑体" w:cs="Arial"/>
                <w:color w:val="000000"/>
                <w:kern w:val="0"/>
                <w:sz w:val="44"/>
                <w:szCs w:val="44"/>
              </w:rPr>
            </w:pPr>
            <w:r>
              <w:rPr>
                <w:rFonts w:ascii="方正小标宋_GBK" w:eastAsia="方正小标宋_GBK" w:hint="eastAsia"/>
                <w:color w:val="000000"/>
                <w:sz w:val="44"/>
                <w:szCs w:val="44"/>
              </w:rPr>
              <w:t>2019年一般公共预算财政拨款收入支出决算表</w:t>
            </w:r>
          </w:p>
        </w:tc>
      </w:tr>
      <w:tr w:rsidR="006B34BD">
        <w:trPr>
          <w:trHeight w:val="300"/>
        </w:trPr>
        <w:tc>
          <w:tcPr>
            <w:tcW w:w="363"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283"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27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4343"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992"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418"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559"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559"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613"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648"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公开05表</w:t>
            </w:r>
          </w:p>
        </w:tc>
      </w:tr>
      <w:tr w:rsidR="006B34BD">
        <w:trPr>
          <w:trHeight w:val="300"/>
        </w:trPr>
        <w:tc>
          <w:tcPr>
            <w:tcW w:w="5259" w:type="dxa"/>
            <w:gridSpan w:val="4"/>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color w:val="000000"/>
                <w:kern w:val="0"/>
                <w:sz w:val="24"/>
                <w:szCs w:val="24"/>
              </w:rPr>
            </w:pPr>
          </w:p>
        </w:tc>
        <w:tc>
          <w:tcPr>
            <w:tcW w:w="992" w:type="dxa"/>
            <w:tcBorders>
              <w:top w:val="nil"/>
              <w:left w:val="nil"/>
              <w:bottom w:val="nil"/>
              <w:right w:val="nil"/>
            </w:tcBorders>
            <w:shd w:val="clear" w:color="auto" w:fill="auto"/>
            <w:noWrap/>
            <w:vAlign w:val="center"/>
          </w:tcPr>
          <w:p w:rsidR="006B34BD" w:rsidRDefault="006B34BD">
            <w:pPr>
              <w:widowControl/>
              <w:jc w:val="center"/>
              <w:rPr>
                <w:rFonts w:ascii="宋体" w:eastAsia="宋体" w:hAnsi="宋体" w:cs="Arial"/>
                <w:color w:val="000000"/>
                <w:kern w:val="0"/>
                <w:sz w:val="24"/>
                <w:szCs w:val="24"/>
              </w:rPr>
            </w:pPr>
          </w:p>
        </w:tc>
        <w:tc>
          <w:tcPr>
            <w:tcW w:w="1418"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559"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559"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613"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648"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单位：万元</w:t>
            </w:r>
          </w:p>
        </w:tc>
      </w:tr>
      <w:tr w:rsidR="006B34BD">
        <w:trPr>
          <w:trHeight w:val="300"/>
        </w:trPr>
        <w:tc>
          <w:tcPr>
            <w:tcW w:w="52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项目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年初结转结余</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本年收入</w:t>
            </w:r>
          </w:p>
        </w:tc>
        <w:tc>
          <w:tcPr>
            <w:tcW w:w="4731" w:type="dxa"/>
            <w:gridSpan w:val="3"/>
            <w:tcBorders>
              <w:top w:val="single" w:sz="4" w:space="0" w:color="auto"/>
              <w:left w:val="nil"/>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本年支出</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年末结转和结余</w:t>
            </w:r>
          </w:p>
        </w:tc>
      </w:tr>
      <w:tr w:rsidR="006B34BD">
        <w:trPr>
          <w:trHeight w:val="312"/>
        </w:trPr>
        <w:tc>
          <w:tcPr>
            <w:tcW w:w="9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功能分类科目编码</w:t>
            </w:r>
          </w:p>
        </w:tc>
        <w:tc>
          <w:tcPr>
            <w:tcW w:w="4343"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项目（按“项”级功能分类科目）</w:t>
            </w:r>
          </w:p>
        </w:tc>
        <w:tc>
          <w:tcPr>
            <w:tcW w:w="992"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合计</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基本支出</w:t>
            </w:r>
          </w:p>
        </w:tc>
        <w:tc>
          <w:tcPr>
            <w:tcW w:w="1613"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项目支出</w:t>
            </w:r>
          </w:p>
        </w:tc>
        <w:tc>
          <w:tcPr>
            <w:tcW w:w="164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615"/>
        </w:trPr>
        <w:tc>
          <w:tcPr>
            <w:tcW w:w="916" w:type="dxa"/>
            <w:gridSpan w:val="3"/>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4343"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613"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312"/>
        </w:trPr>
        <w:tc>
          <w:tcPr>
            <w:tcW w:w="916" w:type="dxa"/>
            <w:gridSpan w:val="3"/>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4343"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613"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300"/>
        </w:trPr>
        <w:tc>
          <w:tcPr>
            <w:tcW w:w="5259" w:type="dxa"/>
            <w:gridSpan w:val="4"/>
            <w:tcBorders>
              <w:top w:val="nil"/>
              <w:left w:val="single" w:sz="4" w:space="0" w:color="000000"/>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合计</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1,522.37</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1,190.37</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332.00</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18"/>
                <w:szCs w:val="18"/>
              </w:rPr>
            </w:pPr>
            <w:r>
              <w:rPr>
                <w:rFonts w:ascii="宋体" w:eastAsia="宋体" w:hAnsi="宋体" w:cs="Arial" w:hint="eastAsia"/>
                <w:b/>
                <w:bCs/>
                <w:kern w:val="0"/>
                <w:sz w:val="18"/>
                <w:szCs w:val="18"/>
              </w:rPr>
              <w:t>一般公共服务支出</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1,257.25</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1,257.25</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925.25</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332.00</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20131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18"/>
                <w:szCs w:val="18"/>
              </w:rPr>
            </w:pPr>
            <w:r>
              <w:rPr>
                <w:rFonts w:ascii="宋体" w:eastAsia="宋体" w:hAnsi="宋体" w:cs="Arial" w:hint="eastAsia"/>
                <w:b/>
                <w:bCs/>
                <w:kern w:val="0"/>
                <w:sz w:val="18"/>
                <w:szCs w:val="18"/>
              </w:rPr>
              <w:t>党委办公厅（室）及相关机构事务</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1,257.25</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1,257.25</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925.25</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332.00</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2013101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行政运行</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702.43</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702.43</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702.43</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2013102</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一般行政管理事务</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284.00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284.00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284.00</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2013150</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事业运行</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222.82</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222.82</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222.82</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2013199</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其他党委办公厅（室）及相关机构事务支出</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48.00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48.00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48.00</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社会保障和就业支出</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165.98</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165.98</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165.98</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20805</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行政事业单位离退休</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163.58</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163.58</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163.58</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2080505</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机关事业单位基本养老保险缴费支出</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68.23</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68.23</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68.23</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2080506</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机关事业单位职业年金缴费支出</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27.29</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27.29</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27.29</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2080599</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其他行政事业单位离退休支出</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68.06</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68.06</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68.06</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20808</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抚恤</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2.40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2.40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2.40</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2080801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死亡抚恤</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2.40</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卫生健康支出</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21011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行政事业单位医疗</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53.41</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2101101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行政单位医疗</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31.40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31.40</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31.40</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nil"/>
              <w:left w:val="single" w:sz="4" w:space="0" w:color="000000"/>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2101102</w:t>
            </w:r>
          </w:p>
        </w:tc>
        <w:tc>
          <w:tcPr>
            <w:tcW w:w="4343"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事业单位医疗</w:t>
            </w:r>
          </w:p>
        </w:tc>
        <w:tc>
          <w:tcPr>
            <w:tcW w:w="992"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8.81</w:t>
            </w:r>
          </w:p>
        </w:tc>
        <w:tc>
          <w:tcPr>
            <w:tcW w:w="1559"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8.81</w:t>
            </w:r>
          </w:p>
        </w:tc>
        <w:tc>
          <w:tcPr>
            <w:tcW w:w="1559"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8.81</w:t>
            </w:r>
          </w:p>
        </w:tc>
        <w:tc>
          <w:tcPr>
            <w:tcW w:w="1613"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8"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2101103</w:t>
            </w:r>
          </w:p>
        </w:tc>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公务员医疗补助</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10.76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10.76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10.76</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2101199</w:t>
            </w:r>
          </w:p>
        </w:tc>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其他行政事业单位医疗支出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2.44</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916"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221</w:t>
            </w:r>
          </w:p>
        </w:tc>
        <w:tc>
          <w:tcPr>
            <w:tcW w:w="4343"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住房保障支出</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18"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559"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559"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613"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648"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22102</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住房改革支出</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45.74</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6B34BD">
        <w:trPr>
          <w:trHeight w:val="300"/>
        </w:trPr>
        <w:tc>
          <w:tcPr>
            <w:tcW w:w="91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2210201</w:t>
            </w:r>
          </w:p>
        </w:tc>
        <w:tc>
          <w:tcPr>
            <w:tcW w:w="43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住房公积金</w:t>
            </w:r>
          </w:p>
        </w:tc>
        <w:tc>
          <w:tcPr>
            <w:tcW w:w="99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45.74</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45.74</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45.74</w:t>
            </w:r>
          </w:p>
        </w:tc>
        <w:tc>
          <w:tcPr>
            <w:tcW w:w="161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2400" w:type="dxa"/>
            <w:gridSpan w:val="9"/>
            <w:tcBorders>
              <w:top w:val="nil"/>
              <w:left w:val="nil"/>
              <w:bottom w:val="nil"/>
              <w:right w:val="nil"/>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备注：本表反映部门本年度一般公共预算财政拨款收支余情况。</w:t>
            </w:r>
          </w:p>
        </w:tc>
        <w:tc>
          <w:tcPr>
            <w:tcW w:w="1648"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20"/>
                <w:szCs w:val="20"/>
              </w:rPr>
            </w:pPr>
          </w:p>
        </w:tc>
      </w:tr>
    </w:tbl>
    <w:p w:rsidR="006B34BD" w:rsidRDefault="006B34BD">
      <w:pPr>
        <w:spacing w:line="560" w:lineRule="exact"/>
        <w:ind w:firstLineChars="200" w:firstLine="640"/>
        <w:rPr>
          <w:rFonts w:ascii="Times New Roman" w:hAnsi="Times New Roman" w:cs="Times New Roman"/>
          <w:sz w:val="32"/>
          <w:szCs w:val="32"/>
        </w:rPr>
      </w:pPr>
    </w:p>
    <w:p w:rsidR="006B34BD" w:rsidRDefault="004F6E30">
      <w:pPr>
        <w:widowControl/>
        <w:jc w:val="left"/>
        <w:rPr>
          <w:rFonts w:ascii="Times New Roman" w:hAnsi="Times New Roman" w:cs="Times New Roman"/>
          <w:sz w:val="32"/>
          <w:szCs w:val="32"/>
        </w:rPr>
      </w:pPr>
      <w:r>
        <w:rPr>
          <w:rFonts w:ascii="Times New Roman" w:hAnsi="Times New Roman" w:cs="Times New Roman"/>
          <w:sz w:val="32"/>
          <w:szCs w:val="32"/>
        </w:rPr>
        <w:br w:type="page"/>
      </w:r>
    </w:p>
    <w:p w:rsidR="006B34BD" w:rsidRDefault="004F6E30">
      <w:pPr>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附件6</w:t>
      </w:r>
    </w:p>
    <w:tbl>
      <w:tblPr>
        <w:tblW w:w="14048" w:type="dxa"/>
        <w:tblInd w:w="94" w:type="dxa"/>
        <w:tblLook w:val="04A0"/>
      </w:tblPr>
      <w:tblGrid>
        <w:gridCol w:w="840"/>
        <w:gridCol w:w="2576"/>
        <w:gridCol w:w="1418"/>
        <w:gridCol w:w="840"/>
        <w:gridCol w:w="2581"/>
        <w:gridCol w:w="1115"/>
        <w:gridCol w:w="1000"/>
        <w:gridCol w:w="2402"/>
        <w:gridCol w:w="1276"/>
      </w:tblGrid>
      <w:tr w:rsidR="006B34BD">
        <w:trPr>
          <w:trHeight w:val="555"/>
        </w:trPr>
        <w:tc>
          <w:tcPr>
            <w:tcW w:w="14048" w:type="dxa"/>
            <w:gridSpan w:val="9"/>
            <w:tcBorders>
              <w:top w:val="nil"/>
              <w:left w:val="nil"/>
              <w:bottom w:val="nil"/>
              <w:right w:val="nil"/>
            </w:tcBorders>
            <w:shd w:val="clear" w:color="auto" w:fill="auto"/>
            <w:noWrap/>
            <w:vAlign w:val="center"/>
          </w:tcPr>
          <w:p w:rsidR="006B34BD" w:rsidRDefault="004F6E30">
            <w:pPr>
              <w:widowControl/>
              <w:spacing w:line="5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中共重庆市潼南区委办公室</w:t>
            </w:r>
          </w:p>
          <w:p w:rsidR="006B34BD" w:rsidRDefault="004F6E30">
            <w:pPr>
              <w:widowControl/>
              <w:spacing w:line="560" w:lineRule="exact"/>
              <w:jc w:val="center"/>
              <w:rPr>
                <w:rFonts w:ascii="黑体" w:eastAsia="黑体" w:hAnsi="黑体" w:cs="Arial"/>
                <w:color w:val="000000"/>
                <w:kern w:val="0"/>
                <w:sz w:val="44"/>
                <w:szCs w:val="44"/>
              </w:rPr>
            </w:pPr>
            <w:r>
              <w:rPr>
                <w:rFonts w:ascii="方正小标宋_GBK" w:eastAsia="方正小标宋_GBK" w:hint="eastAsia"/>
                <w:color w:val="000000"/>
                <w:sz w:val="44"/>
                <w:szCs w:val="44"/>
              </w:rPr>
              <w:t>2019年一般公共预算财政拨款基本支出决算表</w:t>
            </w:r>
          </w:p>
        </w:tc>
      </w:tr>
      <w:tr w:rsidR="006B34BD">
        <w:trPr>
          <w:trHeight w:val="341"/>
        </w:trPr>
        <w:tc>
          <w:tcPr>
            <w:tcW w:w="84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2576"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418"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84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2581"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115"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00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3678" w:type="dxa"/>
            <w:gridSpan w:val="2"/>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公开06表</w:t>
            </w:r>
          </w:p>
        </w:tc>
      </w:tr>
      <w:tr w:rsidR="006B34BD">
        <w:trPr>
          <w:trHeight w:val="300"/>
        </w:trPr>
        <w:tc>
          <w:tcPr>
            <w:tcW w:w="3416" w:type="dxa"/>
            <w:gridSpan w:val="2"/>
            <w:tcBorders>
              <w:top w:val="nil"/>
              <w:left w:val="nil"/>
              <w:bottom w:val="single" w:sz="4" w:space="0" w:color="auto"/>
              <w:right w:val="nil"/>
            </w:tcBorders>
            <w:shd w:val="clear" w:color="auto" w:fill="auto"/>
            <w:noWrap/>
            <w:vAlign w:val="center"/>
          </w:tcPr>
          <w:p w:rsidR="006B34BD" w:rsidRDefault="006B34BD">
            <w:pPr>
              <w:widowControl/>
              <w:jc w:val="left"/>
              <w:rPr>
                <w:rFonts w:ascii="宋体" w:eastAsia="宋体" w:hAnsi="宋体" w:cs="Arial"/>
                <w:color w:val="000000"/>
                <w:kern w:val="0"/>
                <w:sz w:val="24"/>
                <w:szCs w:val="24"/>
              </w:rPr>
            </w:pPr>
          </w:p>
        </w:tc>
        <w:tc>
          <w:tcPr>
            <w:tcW w:w="1418" w:type="dxa"/>
            <w:tcBorders>
              <w:top w:val="nil"/>
              <w:left w:val="nil"/>
              <w:bottom w:val="single" w:sz="4" w:space="0" w:color="auto"/>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84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2581" w:type="dxa"/>
            <w:tcBorders>
              <w:top w:val="nil"/>
              <w:left w:val="nil"/>
              <w:bottom w:val="nil"/>
              <w:right w:val="nil"/>
            </w:tcBorders>
            <w:shd w:val="clear" w:color="auto" w:fill="auto"/>
            <w:noWrap/>
            <w:vAlign w:val="center"/>
          </w:tcPr>
          <w:p w:rsidR="006B34BD" w:rsidRDefault="006B34BD">
            <w:pPr>
              <w:widowControl/>
              <w:jc w:val="center"/>
              <w:rPr>
                <w:rFonts w:ascii="宋体" w:eastAsia="宋体" w:hAnsi="宋体" w:cs="Arial"/>
                <w:color w:val="000000"/>
                <w:kern w:val="0"/>
                <w:sz w:val="24"/>
                <w:szCs w:val="24"/>
              </w:rPr>
            </w:pPr>
          </w:p>
        </w:tc>
        <w:tc>
          <w:tcPr>
            <w:tcW w:w="1115"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000"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3678" w:type="dxa"/>
            <w:gridSpan w:val="2"/>
            <w:tcBorders>
              <w:top w:val="nil"/>
              <w:left w:val="nil"/>
              <w:bottom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单位：万元</w:t>
            </w:r>
          </w:p>
        </w:tc>
      </w:tr>
      <w:tr w:rsidR="006B34BD">
        <w:trPr>
          <w:trHeight w:val="300"/>
        </w:trPr>
        <w:tc>
          <w:tcPr>
            <w:tcW w:w="4834" w:type="dxa"/>
            <w:gridSpan w:val="3"/>
            <w:tcBorders>
              <w:top w:val="nil"/>
              <w:left w:val="single" w:sz="4" w:space="0" w:color="000000"/>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人员经费</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公用经费</w:t>
            </w:r>
          </w:p>
        </w:tc>
      </w:tr>
      <w:tr w:rsidR="006B34BD">
        <w:trPr>
          <w:trHeight w:val="312"/>
        </w:trPr>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经济分类科目编码</w:t>
            </w:r>
          </w:p>
        </w:tc>
        <w:tc>
          <w:tcPr>
            <w:tcW w:w="2576" w:type="dxa"/>
            <w:vMerge w:val="restart"/>
            <w:tcBorders>
              <w:top w:val="nil"/>
              <w:left w:val="nil"/>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经济分类科目（按“款”级功能分类科目）</w:t>
            </w:r>
          </w:p>
        </w:tc>
        <w:tc>
          <w:tcPr>
            <w:tcW w:w="1418" w:type="dxa"/>
            <w:vMerge w:val="restart"/>
            <w:tcBorders>
              <w:top w:val="nil"/>
              <w:left w:val="nil"/>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金额</w:t>
            </w:r>
          </w:p>
        </w:tc>
        <w:tc>
          <w:tcPr>
            <w:tcW w:w="840" w:type="dxa"/>
            <w:vMerge w:val="restart"/>
            <w:tcBorders>
              <w:top w:val="nil"/>
              <w:left w:val="nil"/>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经济分类科目编码</w:t>
            </w:r>
          </w:p>
        </w:tc>
        <w:tc>
          <w:tcPr>
            <w:tcW w:w="2581" w:type="dxa"/>
            <w:vMerge w:val="restart"/>
            <w:tcBorders>
              <w:top w:val="nil"/>
              <w:left w:val="nil"/>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经济分类科目（按“款”级功能分类科目）</w:t>
            </w:r>
          </w:p>
        </w:tc>
        <w:tc>
          <w:tcPr>
            <w:tcW w:w="1115" w:type="dxa"/>
            <w:vMerge w:val="restart"/>
            <w:tcBorders>
              <w:top w:val="nil"/>
              <w:left w:val="nil"/>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金额</w:t>
            </w:r>
          </w:p>
        </w:tc>
        <w:tc>
          <w:tcPr>
            <w:tcW w:w="1000" w:type="dxa"/>
            <w:vMerge w:val="restart"/>
            <w:tcBorders>
              <w:top w:val="nil"/>
              <w:left w:val="nil"/>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经济分类科目编码</w:t>
            </w:r>
          </w:p>
        </w:tc>
        <w:tc>
          <w:tcPr>
            <w:tcW w:w="2402" w:type="dxa"/>
            <w:vMerge w:val="restart"/>
            <w:tcBorders>
              <w:top w:val="nil"/>
              <w:left w:val="nil"/>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经济分类科目（按“款”级功能分类科目）</w:t>
            </w:r>
          </w:p>
        </w:tc>
        <w:tc>
          <w:tcPr>
            <w:tcW w:w="1276" w:type="dxa"/>
            <w:vMerge w:val="restart"/>
            <w:tcBorders>
              <w:top w:val="nil"/>
              <w:left w:val="nil"/>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金额</w:t>
            </w:r>
          </w:p>
        </w:tc>
      </w:tr>
      <w:tr w:rsidR="006B34BD">
        <w:trPr>
          <w:trHeight w:val="600"/>
        </w:trPr>
        <w:tc>
          <w:tcPr>
            <w:tcW w:w="840" w:type="dxa"/>
            <w:vMerge/>
            <w:tcBorders>
              <w:top w:val="nil"/>
              <w:left w:val="single" w:sz="4" w:space="0" w:color="000000"/>
              <w:bottom w:val="single" w:sz="4" w:space="0" w:color="000000"/>
              <w:right w:val="single" w:sz="4" w:space="0" w:color="000000"/>
            </w:tcBorders>
            <w:vAlign w:val="center"/>
          </w:tcPr>
          <w:p w:rsidR="006B34BD" w:rsidRDefault="006B34BD">
            <w:pPr>
              <w:widowControl/>
              <w:jc w:val="left"/>
              <w:rPr>
                <w:rFonts w:ascii="宋体" w:eastAsia="宋体" w:hAnsi="宋体" w:cs="Arial"/>
                <w:b/>
                <w:bCs/>
                <w:kern w:val="0"/>
                <w:sz w:val="20"/>
                <w:szCs w:val="20"/>
              </w:rPr>
            </w:pPr>
          </w:p>
        </w:tc>
        <w:tc>
          <w:tcPr>
            <w:tcW w:w="2576" w:type="dxa"/>
            <w:vMerge/>
            <w:tcBorders>
              <w:top w:val="nil"/>
              <w:left w:val="nil"/>
              <w:bottom w:val="single" w:sz="4" w:space="0" w:color="000000"/>
              <w:right w:val="single" w:sz="4" w:space="0" w:color="000000"/>
            </w:tcBorders>
            <w:vAlign w:val="center"/>
          </w:tcPr>
          <w:p w:rsidR="006B34BD" w:rsidRDefault="006B34BD">
            <w:pPr>
              <w:widowControl/>
              <w:jc w:val="left"/>
              <w:rPr>
                <w:rFonts w:ascii="宋体" w:eastAsia="宋体" w:hAnsi="宋体" w:cs="Arial"/>
                <w:b/>
                <w:bCs/>
                <w:kern w:val="0"/>
                <w:sz w:val="20"/>
                <w:szCs w:val="20"/>
              </w:rPr>
            </w:pPr>
          </w:p>
        </w:tc>
        <w:tc>
          <w:tcPr>
            <w:tcW w:w="1418" w:type="dxa"/>
            <w:vMerge/>
            <w:tcBorders>
              <w:top w:val="nil"/>
              <w:left w:val="nil"/>
              <w:bottom w:val="single" w:sz="4" w:space="0" w:color="000000"/>
              <w:right w:val="single" w:sz="4" w:space="0" w:color="000000"/>
            </w:tcBorders>
            <w:vAlign w:val="center"/>
          </w:tcPr>
          <w:p w:rsidR="006B34BD" w:rsidRDefault="006B34BD">
            <w:pPr>
              <w:widowControl/>
              <w:jc w:val="left"/>
              <w:rPr>
                <w:rFonts w:ascii="宋体" w:eastAsia="宋体" w:hAnsi="宋体" w:cs="Arial"/>
                <w:b/>
                <w:bCs/>
                <w:kern w:val="0"/>
                <w:sz w:val="20"/>
                <w:szCs w:val="20"/>
              </w:rPr>
            </w:pPr>
          </w:p>
        </w:tc>
        <w:tc>
          <w:tcPr>
            <w:tcW w:w="840" w:type="dxa"/>
            <w:vMerge/>
            <w:tcBorders>
              <w:top w:val="nil"/>
              <w:left w:val="nil"/>
              <w:bottom w:val="single" w:sz="4" w:space="0" w:color="000000"/>
              <w:right w:val="single" w:sz="4" w:space="0" w:color="000000"/>
            </w:tcBorders>
            <w:vAlign w:val="center"/>
          </w:tcPr>
          <w:p w:rsidR="006B34BD" w:rsidRDefault="006B34BD">
            <w:pPr>
              <w:widowControl/>
              <w:jc w:val="left"/>
              <w:rPr>
                <w:rFonts w:ascii="宋体" w:eastAsia="宋体" w:hAnsi="宋体" w:cs="Arial"/>
                <w:b/>
                <w:bCs/>
                <w:kern w:val="0"/>
                <w:sz w:val="20"/>
                <w:szCs w:val="20"/>
              </w:rPr>
            </w:pPr>
          </w:p>
        </w:tc>
        <w:tc>
          <w:tcPr>
            <w:tcW w:w="2581" w:type="dxa"/>
            <w:vMerge/>
            <w:tcBorders>
              <w:top w:val="nil"/>
              <w:left w:val="nil"/>
              <w:bottom w:val="single" w:sz="4" w:space="0" w:color="000000"/>
              <w:right w:val="single" w:sz="4" w:space="0" w:color="000000"/>
            </w:tcBorders>
            <w:vAlign w:val="center"/>
          </w:tcPr>
          <w:p w:rsidR="006B34BD" w:rsidRDefault="006B34BD">
            <w:pPr>
              <w:widowControl/>
              <w:jc w:val="left"/>
              <w:rPr>
                <w:rFonts w:ascii="宋体" w:eastAsia="宋体" w:hAnsi="宋体" w:cs="Arial"/>
                <w:b/>
                <w:bCs/>
                <w:kern w:val="0"/>
                <w:sz w:val="20"/>
                <w:szCs w:val="20"/>
              </w:rPr>
            </w:pPr>
          </w:p>
        </w:tc>
        <w:tc>
          <w:tcPr>
            <w:tcW w:w="1115" w:type="dxa"/>
            <w:vMerge/>
            <w:tcBorders>
              <w:top w:val="nil"/>
              <w:left w:val="nil"/>
              <w:bottom w:val="single" w:sz="4" w:space="0" w:color="000000"/>
              <w:right w:val="single" w:sz="4" w:space="0" w:color="000000"/>
            </w:tcBorders>
            <w:vAlign w:val="center"/>
          </w:tcPr>
          <w:p w:rsidR="006B34BD" w:rsidRDefault="006B34BD">
            <w:pPr>
              <w:widowControl/>
              <w:jc w:val="left"/>
              <w:rPr>
                <w:rFonts w:ascii="宋体" w:eastAsia="宋体" w:hAnsi="宋体" w:cs="Arial"/>
                <w:b/>
                <w:bCs/>
                <w:kern w:val="0"/>
                <w:sz w:val="20"/>
                <w:szCs w:val="20"/>
              </w:rPr>
            </w:pPr>
          </w:p>
        </w:tc>
        <w:tc>
          <w:tcPr>
            <w:tcW w:w="1000" w:type="dxa"/>
            <w:vMerge/>
            <w:tcBorders>
              <w:top w:val="nil"/>
              <w:left w:val="nil"/>
              <w:bottom w:val="single" w:sz="4" w:space="0" w:color="000000"/>
              <w:right w:val="single" w:sz="4" w:space="0" w:color="000000"/>
            </w:tcBorders>
            <w:vAlign w:val="center"/>
          </w:tcPr>
          <w:p w:rsidR="006B34BD" w:rsidRDefault="006B34BD">
            <w:pPr>
              <w:widowControl/>
              <w:jc w:val="left"/>
              <w:rPr>
                <w:rFonts w:ascii="宋体" w:eastAsia="宋体" w:hAnsi="宋体" w:cs="Arial"/>
                <w:b/>
                <w:bCs/>
                <w:kern w:val="0"/>
                <w:sz w:val="20"/>
                <w:szCs w:val="20"/>
              </w:rPr>
            </w:pPr>
          </w:p>
        </w:tc>
        <w:tc>
          <w:tcPr>
            <w:tcW w:w="2402" w:type="dxa"/>
            <w:vMerge/>
            <w:tcBorders>
              <w:top w:val="nil"/>
              <w:left w:val="nil"/>
              <w:bottom w:val="single" w:sz="4" w:space="0" w:color="000000"/>
              <w:right w:val="single" w:sz="4" w:space="0" w:color="000000"/>
            </w:tcBorders>
            <w:vAlign w:val="center"/>
          </w:tcPr>
          <w:p w:rsidR="006B34BD" w:rsidRDefault="006B34BD">
            <w:pPr>
              <w:widowControl/>
              <w:jc w:val="left"/>
              <w:rPr>
                <w:rFonts w:ascii="宋体" w:eastAsia="宋体" w:hAnsi="宋体" w:cs="Arial"/>
                <w:b/>
                <w:bCs/>
                <w:kern w:val="0"/>
                <w:sz w:val="20"/>
                <w:szCs w:val="20"/>
              </w:rPr>
            </w:pPr>
          </w:p>
        </w:tc>
        <w:tc>
          <w:tcPr>
            <w:tcW w:w="1276" w:type="dxa"/>
            <w:vMerge/>
            <w:tcBorders>
              <w:top w:val="nil"/>
              <w:left w:val="nil"/>
              <w:bottom w:val="single" w:sz="4" w:space="0" w:color="000000"/>
              <w:right w:val="single" w:sz="4" w:space="0" w:color="000000"/>
            </w:tcBorders>
            <w:vAlign w:val="center"/>
          </w:tcPr>
          <w:p w:rsidR="006B34BD" w:rsidRDefault="006B34BD">
            <w:pPr>
              <w:widowControl/>
              <w:jc w:val="left"/>
              <w:rPr>
                <w:rFonts w:ascii="宋体" w:eastAsia="宋体" w:hAnsi="宋体" w:cs="Arial"/>
                <w:b/>
                <w:bCs/>
                <w:kern w:val="0"/>
                <w:sz w:val="20"/>
                <w:szCs w:val="20"/>
              </w:rPr>
            </w:pP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工资福利支出</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860.32</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商品和服务支出</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217.92</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资本性支出</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28.20</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30101</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基本工资</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199.92</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30201</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办公费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20.32</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31001</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房屋建筑物购建</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30102</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津贴补贴</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120.07</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30202</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印刷费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3.33</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31002</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办公设备购置</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28.20</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30103</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奖金</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114.19</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30203</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咨询费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0.11</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31003</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专用设备购置</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30106</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伙食补助费</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11.46</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30204</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手续费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31005</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基础设施建设</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30107</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绩效工资</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104.74</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30205</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水费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31006</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大型修缮</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30108</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机关事业单位基本养老保险费</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68.23</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30206</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电费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6.71</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31007</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信息网络及软件购置更新</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30109</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职业年金缴费</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27.29</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30207</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邮电费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19.70</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31008</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物资储备</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30110</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职工基本医疗保险缴费</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30.50</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30208</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取暖费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31009</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土地补偿</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30111</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公务员医疗补助缴费</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10.76</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30209</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物业管理费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0.08</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31010</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安置补助</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30112</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其他社会保障缴费</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14.13</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30211</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差旅费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25.67</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31011</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地上附着物和青苗补偿</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30113</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住房公积金</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88.36</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30212</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因公出国（境）费用</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31012</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拆迁补偿</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30114</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医疗费</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2.44</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30213</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维修（护）费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2.04</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31013</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公务用车购置</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30199</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其他工资福利支出</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68.24</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30214</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租赁费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3.30</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31019</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其他交通工具购置</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303</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对个人和家庭的补助</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83.92</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30215</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会议费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2.30</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31021</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文物和陈列品购置</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30301</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离休费</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30216</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培训费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2.27</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31022</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无形资产购置</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30302</w:t>
            </w:r>
          </w:p>
        </w:tc>
        <w:tc>
          <w:tcPr>
            <w:tcW w:w="2576"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退休费</w:t>
            </w:r>
          </w:p>
        </w:tc>
        <w:tc>
          <w:tcPr>
            <w:tcW w:w="1418"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30217</w:t>
            </w:r>
          </w:p>
        </w:tc>
        <w:tc>
          <w:tcPr>
            <w:tcW w:w="2581"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公务接待费</w:t>
            </w:r>
          </w:p>
        </w:tc>
        <w:tc>
          <w:tcPr>
            <w:tcW w:w="1115"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7.30</w:t>
            </w:r>
          </w:p>
        </w:tc>
        <w:tc>
          <w:tcPr>
            <w:tcW w:w="1000"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31099</w:t>
            </w:r>
          </w:p>
        </w:tc>
        <w:tc>
          <w:tcPr>
            <w:tcW w:w="2402"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其他资本性支出</w:t>
            </w:r>
          </w:p>
        </w:tc>
        <w:tc>
          <w:tcPr>
            <w:tcW w:w="1276" w:type="dxa"/>
            <w:tcBorders>
              <w:top w:val="nil"/>
              <w:left w:val="nil"/>
              <w:bottom w:val="single" w:sz="4" w:space="0" w:color="auto"/>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3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bookmarkStart w:id="0" w:name="_GoBack" w:colFirst="0" w:colLast="8"/>
            <w:r>
              <w:rPr>
                <w:rFonts w:ascii="宋体" w:eastAsia="宋体" w:hAnsi="宋体" w:cs="Arial" w:hint="eastAsia"/>
                <w:kern w:val="0"/>
                <w:sz w:val="20"/>
                <w:szCs w:val="20"/>
              </w:rPr>
              <w:lastRenderedPageBreak/>
              <w:t>30303</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退职（役）费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30218</w:t>
            </w:r>
          </w:p>
        </w:tc>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专用材料费</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312</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对企业补助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30304</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抚恤金</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5.52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30224</w:t>
            </w:r>
          </w:p>
        </w:tc>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被装购置费</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31201</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资本金注入</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bookmarkEnd w:id="0"/>
      <w:tr w:rsidR="006B34BD">
        <w:trPr>
          <w:trHeight w:val="300"/>
        </w:trPr>
        <w:tc>
          <w:tcPr>
            <w:tcW w:w="8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30305</w:t>
            </w:r>
          </w:p>
        </w:tc>
        <w:tc>
          <w:tcPr>
            <w:tcW w:w="2576"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生活补助</w:t>
            </w:r>
          </w:p>
        </w:tc>
        <w:tc>
          <w:tcPr>
            <w:tcW w:w="1418"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49.78</w:t>
            </w:r>
          </w:p>
        </w:tc>
        <w:tc>
          <w:tcPr>
            <w:tcW w:w="840"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30225</w:t>
            </w:r>
          </w:p>
        </w:tc>
        <w:tc>
          <w:tcPr>
            <w:tcW w:w="2581"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专用燃料费</w:t>
            </w:r>
          </w:p>
        </w:tc>
        <w:tc>
          <w:tcPr>
            <w:tcW w:w="1115"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31203</w:t>
            </w:r>
          </w:p>
        </w:tc>
        <w:tc>
          <w:tcPr>
            <w:tcW w:w="2402"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政府投资基金股权投资</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30306</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救济费</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30226</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劳务费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2.77</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31204</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费用补贴</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30307</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医疗费补助</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30227</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委托业务费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0.45</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31205</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利息补贴</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30308</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助学金</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30228</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工会经费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18.00</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31299</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其他对企业补助</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30309</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奖励金</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19.33</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30229</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福利费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42.49</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399</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其他支出</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30310</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个人农业生产补贴</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30231</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公务用车运行维护费</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19.36</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39906</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赠与</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30399</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其他个人和家庭的补助支出</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9.30</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30239</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其他交通费用</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25.98</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39907</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国家赔偿费用支出</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30240</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税金及附加费用</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0.10</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39908</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对民间非营利组织和群众性自治组织补贴</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30299</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其他商品和服务支出</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15.63</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39999</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其他支出</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307</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债务利息及费用支出</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30701</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国内债务付息</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30702</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国外债务付息</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30703</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国内债务发行费用</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840"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5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84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30704</w:t>
            </w:r>
          </w:p>
        </w:tc>
        <w:tc>
          <w:tcPr>
            <w:tcW w:w="258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国外债务发行费用</w:t>
            </w:r>
          </w:p>
        </w:tc>
        <w:tc>
          <w:tcPr>
            <w:tcW w:w="1115"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0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3416" w:type="dxa"/>
            <w:gridSpan w:val="2"/>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人员经费合计</w:t>
            </w:r>
          </w:p>
        </w:tc>
        <w:tc>
          <w:tcPr>
            <w:tcW w:w="1418"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944.25</w:t>
            </w:r>
          </w:p>
        </w:tc>
        <w:tc>
          <w:tcPr>
            <w:tcW w:w="7938" w:type="dxa"/>
            <w:gridSpan w:val="5"/>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公用经费合计</w:t>
            </w:r>
          </w:p>
        </w:tc>
        <w:tc>
          <w:tcPr>
            <w:tcW w:w="1276"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246.12</w:t>
            </w:r>
          </w:p>
        </w:tc>
      </w:tr>
      <w:tr w:rsidR="006B34BD">
        <w:trPr>
          <w:trHeight w:val="300"/>
        </w:trPr>
        <w:tc>
          <w:tcPr>
            <w:tcW w:w="14048" w:type="dxa"/>
            <w:gridSpan w:val="9"/>
            <w:tcBorders>
              <w:top w:val="nil"/>
              <w:left w:val="nil"/>
              <w:bottom w:val="nil"/>
              <w:right w:val="nil"/>
            </w:tcBorders>
            <w:shd w:val="clear" w:color="auto" w:fill="auto"/>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注：本表反映部门本年度一般公共预算财政拨款基本支出明细情况。</w:t>
            </w:r>
          </w:p>
        </w:tc>
      </w:tr>
    </w:tbl>
    <w:p w:rsidR="006B34BD" w:rsidRDefault="006B34BD">
      <w:pPr>
        <w:spacing w:line="560" w:lineRule="exact"/>
        <w:ind w:firstLineChars="200" w:firstLine="640"/>
        <w:rPr>
          <w:rFonts w:ascii="Times New Roman" w:hAnsi="Times New Roman" w:cs="Times New Roman"/>
          <w:sz w:val="32"/>
          <w:szCs w:val="32"/>
        </w:rPr>
      </w:pPr>
    </w:p>
    <w:p w:rsidR="006B34BD" w:rsidRDefault="004F6E30">
      <w:pPr>
        <w:widowControl/>
        <w:jc w:val="left"/>
        <w:rPr>
          <w:rFonts w:ascii="Times New Roman" w:hAnsi="Times New Roman" w:cs="Times New Roman"/>
          <w:sz w:val="32"/>
          <w:szCs w:val="32"/>
        </w:rPr>
      </w:pPr>
      <w:r>
        <w:rPr>
          <w:rFonts w:ascii="Times New Roman" w:hAnsi="Times New Roman" w:cs="Times New Roman"/>
          <w:sz w:val="32"/>
          <w:szCs w:val="32"/>
        </w:rPr>
        <w:br w:type="page"/>
      </w:r>
    </w:p>
    <w:p w:rsidR="006B34BD" w:rsidRDefault="004F6E30">
      <w:pPr>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附件7</w:t>
      </w:r>
    </w:p>
    <w:tbl>
      <w:tblPr>
        <w:tblpPr w:leftFromText="180" w:rightFromText="180" w:vertAnchor="text" w:tblpX="94" w:tblpY="1"/>
        <w:tblOverlap w:val="never"/>
        <w:tblW w:w="14000" w:type="dxa"/>
        <w:tblLook w:val="04A0"/>
      </w:tblPr>
      <w:tblGrid>
        <w:gridCol w:w="222"/>
        <w:gridCol w:w="222"/>
        <w:gridCol w:w="1082"/>
        <w:gridCol w:w="3601"/>
        <w:gridCol w:w="1701"/>
        <w:gridCol w:w="1417"/>
        <w:gridCol w:w="993"/>
        <w:gridCol w:w="1417"/>
        <w:gridCol w:w="1412"/>
        <w:gridCol w:w="1933"/>
      </w:tblGrid>
      <w:tr w:rsidR="006B34BD">
        <w:trPr>
          <w:trHeight w:val="555"/>
        </w:trPr>
        <w:tc>
          <w:tcPr>
            <w:tcW w:w="14000" w:type="dxa"/>
            <w:gridSpan w:val="10"/>
            <w:tcBorders>
              <w:top w:val="nil"/>
              <w:left w:val="nil"/>
              <w:bottom w:val="nil"/>
              <w:right w:val="nil"/>
            </w:tcBorders>
            <w:shd w:val="clear" w:color="auto" w:fill="auto"/>
            <w:noWrap/>
            <w:vAlign w:val="center"/>
          </w:tcPr>
          <w:p w:rsidR="006B34BD" w:rsidRDefault="004F6E30">
            <w:pPr>
              <w:widowControl/>
              <w:spacing w:line="5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中共重庆市潼南区委办公室</w:t>
            </w:r>
          </w:p>
          <w:p w:rsidR="006B34BD" w:rsidRDefault="004F6E30">
            <w:pPr>
              <w:widowControl/>
              <w:spacing w:line="560" w:lineRule="exact"/>
              <w:jc w:val="center"/>
              <w:rPr>
                <w:rFonts w:ascii="黑体" w:eastAsia="黑体" w:hAnsi="黑体" w:cs="Arial"/>
                <w:color w:val="000000"/>
                <w:kern w:val="0"/>
                <w:sz w:val="44"/>
                <w:szCs w:val="44"/>
              </w:rPr>
            </w:pPr>
            <w:r>
              <w:rPr>
                <w:rFonts w:ascii="方正小标宋_GBK" w:eastAsia="方正小标宋_GBK" w:hint="eastAsia"/>
                <w:color w:val="000000"/>
                <w:sz w:val="44"/>
                <w:szCs w:val="44"/>
              </w:rPr>
              <w:t>2019年政府性基金预算财政拨款收入支出决算表</w:t>
            </w:r>
          </w:p>
        </w:tc>
      </w:tr>
      <w:tr w:rsidR="006B34BD">
        <w:trPr>
          <w:trHeight w:val="300"/>
        </w:trPr>
        <w:tc>
          <w:tcPr>
            <w:tcW w:w="222"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222"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082"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3601"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701"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417"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993"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417"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412"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933"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公开07表</w:t>
            </w:r>
          </w:p>
        </w:tc>
      </w:tr>
      <w:tr w:rsidR="006B34BD">
        <w:trPr>
          <w:trHeight w:val="300"/>
        </w:trPr>
        <w:tc>
          <w:tcPr>
            <w:tcW w:w="5127" w:type="dxa"/>
            <w:gridSpan w:val="4"/>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color w:val="000000"/>
                <w:kern w:val="0"/>
                <w:sz w:val="24"/>
                <w:szCs w:val="24"/>
              </w:rPr>
            </w:pPr>
          </w:p>
        </w:tc>
        <w:tc>
          <w:tcPr>
            <w:tcW w:w="1701" w:type="dxa"/>
            <w:tcBorders>
              <w:top w:val="nil"/>
              <w:left w:val="nil"/>
              <w:bottom w:val="nil"/>
              <w:right w:val="nil"/>
            </w:tcBorders>
            <w:shd w:val="clear" w:color="auto" w:fill="auto"/>
            <w:noWrap/>
            <w:vAlign w:val="center"/>
          </w:tcPr>
          <w:p w:rsidR="006B34BD" w:rsidRDefault="006B34BD">
            <w:pPr>
              <w:widowControl/>
              <w:jc w:val="center"/>
              <w:rPr>
                <w:rFonts w:ascii="宋体" w:eastAsia="宋体" w:hAnsi="宋体" w:cs="Arial"/>
                <w:color w:val="000000"/>
                <w:kern w:val="0"/>
                <w:sz w:val="24"/>
                <w:szCs w:val="24"/>
              </w:rPr>
            </w:pPr>
          </w:p>
        </w:tc>
        <w:tc>
          <w:tcPr>
            <w:tcW w:w="1417"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993"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417"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412"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933"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单位：万元</w:t>
            </w:r>
          </w:p>
        </w:tc>
      </w:tr>
      <w:tr w:rsidR="006B34BD">
        <w:trPr>
          <w:trHeight w:val="300"/>
        </w:trPr>
        <w:tc>
          <w:tcPr>
            <w:tcW w:w="5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项目</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年初结转和结余</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本年收入</w:t>
            </w:r>
          </w:p>
        </w:tc>
        <w:tc>
          <w:tcPr>
            <w:tcW w:w="3822" w:type="dxa"/>
            <w:gridSpan w:val="3"/>
            <w:tcBorders>
              <w:top w:val="single" w:sz="4" w:space="0" w:color="auto"/>
              <w:left w:val="nil"/>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本年支出</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年末结转和结余</w:t>
            </w:r>
          </w:p>
        </w:tc>
      </w:tr>
      <w:tr w:rsidR="006B34BD">
        <w:trPr>
          <w:trHeight w:val="312"/>
        </w:trPr>
        <w:tc>
          <w:tcPr>
            <w:tcW w:w="15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功能分类科目编码</w:t>
            </w:r>
          </w:p>
        </w:tc>
        <w:tc>
          <w:tcPr>
            <w:tcW w:w="3601"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项目（按“项”级功能分类科目）</w:t>
            </w:r>
          </w:p>
        </w:tc>
        <w:tc>
          <w:tcPr>
            <w:tcW w:w="1701"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合计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基本支出</w:t>
            </w:r>
          </w:p>
        </w:tc>
        <w:tc>
          <w:tcPr>
            <w:tcW w:w="1412" w:type="dxa"/>
            <w:vMerge w:val="restart"/>
            <w:tcBorders>
              <w:top w:val="nil"/>
              <w:left w:val="single" w:sz="4" w:space="0" w:color="auto"/>
              <w:bottom w:val="single" w:sz="4" w:space="0" w:color="auto"/>
              <w:right w:val="single" w:sz="4" w:space="0" w:color="auto"/>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项目支出</w:t>
            </w:r>
          </w:p>
        </w:tc>
        <w:tc>
          <w:tcPr>
            <w:tcW w:w="1933"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312"/>
        </w:trPr>
        <w:tc>
          <w:tcPr>
            <w:tcW w:w="1526" w:type="dxa"/>
            <w:gridSpan w:val="3"/>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3601"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993"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12"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600"/>
        </w:trPr>
        <w:tc>
          <w:tcPr>
            <w:tcW w:w="1526" w:type="dxa"/>
            <w:gridSpan w:val="3"/>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3601"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993"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412" w:type="dxa"/>
            <w:vMerge/>
            <w:tcBorders>
              <w:top w:val="nil"/>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6B34BD" w:rsidRDefault="006B34BD">
            <w:pPr>
              <w:widowControl/>
              <w:jc w:val="left"/>
              <w:rPr>
                <w:rFonts w:ascii="宋体" w:eastAsia="宋体" w:hAnsi="宋体" w:cs="Arial"/>
                <w:b/>
                <w:bCs/>
                <w:kern w:val="0"/>
                <w:sz w:val="20"/>
                <w:szCs w:val="20"/>
              </w:rPr>
            </w:pPr>
          </w:p>
        </w:tc>
      </w:tr>
      <w:tr w:rsidR="006B34BD">
        <w:trPr>
          <w:trHeight w:val="300"/>
        </w:trPr>
        <w:tc>
          <w:tcPr>
            <w:tcW w:w="5127" w:type="dxa"/>
            <w:gridSpan w:val="4"/>
            <w:tcBorders>
              <w:top w:val="nil"/>
              <w:left w:val="single" w:sz="4" w:space="0" w:color="000000"/>
              <w:bottom w:val="single" w:sz="4" w:space="0" w:color="000000"/>
              <w:right w:val="single" w:sz="4" w:space="0" w:color="000000"/>
            </w:tcBorders>
            <w:shd w:val="clear" w:color="auto" w:fill="auto"/>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合计</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3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526" w:type="dxa"/>
            <w:gridSpan w:val="3"/>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6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412"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3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300"/>
        </w:trPr>
        <w:tc>
          <w:tcPr>
            <w:tcW w:w="14000" w:type="dxa"/>
            <w:gridSpan w:val="10"/>
            <w:tcBorders>
              <w:top w:val="nil"/>
              <w:left w:val="nil"/>
              <w:bottom w:val="nil"/>
              <w:right w:val="nil"/>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备注：本表反映部门本年度政府性基金预算财政拨款收入支出及结转和结余情况。</w:t>
            </w:r>
          </w:p>
        </w:tc>
      </w:tr>
      <w:tr w:rsidR="006B34BD">
        <w:trPr>
          <w:trHeight w:val="300"/>
        </w:trPr>
        <w:tc>
          <w:tcPr>
            <w:tcW w:w="14000" w:type="dxa"/>
            <w:gridSpan w:val="10"/>
            <w:tcBorders>
              <w:top w:val="nil"/>
              <w:left w:val="nil"/>
              <w:bottom w:val="nil"/>
              <w:right w:val="nil"/>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本表为空的部门应将空表公开，并注明：本单位无政府性基金收入，也没有使用政府性基金安排的支出，故本表无数据。</w:t>
            </w:r>
          </w:p>
        </w:tc>
      </w:tr>
    </w:tbl>
    <w:p w:rsidR="006B34BD" w:rsidRDefault="004F6E30">
      <w:pPr>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br w:type="textWrapping" w:clear="all"/>
      </w:r>
    </w:p>
    <w:p w:rsidR="006B34BD" w:rsidRDefault="004F6E30">
      <w:pPr>
        <w:widowControl/>
        <w:jc w:val="left"/>
        <w:rPr>
          <w:rFonts w:ascii="Times New Roman" w:hAnsi="Times New Roman" w:cs="Times New Roman"/>
          <w:sz w:val="32"/>
          <w:szCs w:val="32"/>
        </w:rPr>
      </w:pPr>
      <w:r>
        <w:rPr>
          <w:rFonts w:ascii="Times New Roman" w:hAnsi="Times New Roman" w:cs="Times New Roman"/>
          <w:sz w:val="32"/>
          <w:szCs w:val="32"/>
        </w:rPr>
        <w:br w:type="page"/>
      </w:r>
    </w:p>
    <w:p w:rsidR="006B34BD" w:rsidRDefault="004F6E30">
      <w:pPr>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附件8</w:t>
      </w:r>
    </w:p>
    <w:tbl>
      <w:tblPr>
        <w:tblW w:w="13990" w:type="dxa"/>
        <w:tblInd w:w="94" w:type="dxa"/>
        <w:tblLook w:val="04A0"/>
      </w:tblPr>
      <w:tblGrid>
        <w:gridCol w:w="4267"/>
        <w:gridCol w:w="1559"/>
        <w:gridCol w:w="1327"/>
        <w:gridCol w:w="5194"/>
        <w:gridCol w:w="1643"/>
      </w:tblGrid>
      <w:tr w:rsidR="006B34BD">
        <w:trPr>
          <w:trHeight w:val="255"/>
        </w:trPr>
        <w:tc>
          <w:tcPr>
            <w:tcW w:w="13990" w:type="dxa"/>
            <w:gridSpan w:val="5"/>
            <w:tcBorders>
              <w:top w:val="nil"/>
              <w:left w:val="nil"/>
              <w:bottom w:val="nil"/>
              <w:right w:val="nil"/>
            </w:tcBorders>
            <w:shd w:val="clear" w:color="auto" w:fill="auto"/>
            <w:noWrap/>
            <w:vAlign w:val="center"/>
          </w:tcPr>
          <w:p w:rsidR="006B34BD" w:rsidRDefault="004F6E30">
            <w:pPr>
              <w:widowControl/>
              <w:spacing w:line="520" w:lineRule="exact"/>
              <w:jc w:val="center"/>
              <w:rPr>
                <w:rFonts w:ascii="黑体" w:eastAsia="黑体" w:hAnsi="黑体" w:cs="Arial"/>
                <w:color w:val="000000"/>
                <w:kern w:val="0"/>
                <w:sz w:val="44"/>
                <w:szCs w:val="44"/>
              </w:rPr>
            </w:pPr>
            <w:r>
              <w:rPr>
                <w:rFonts w:ascii="方正小标宋_GBK" w:eastAsia="方正小标宋_GBK" w:hint="eastAsia"/>
                <w:color w:val="000000"/>
                <w:sz w:val="44"/>
                <w:szCs w:val="44"/>
              </w:rPr>
              <w:t>中共重庆市潼南区委办公室2019年机构运行信息表</w:t>
            </w:r>
          </w:p>
        </w:tc>
      </w:tr>
      <w:tr w:rsidR="006B34BD">
        <w:trPr>
          <w:cantSplit/>
          <w:trHeight w:val="227"/>
        </w:trPr>
        <w:tc>
          <w:tcPr>
            <w:tcW w:w="4267"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559"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327"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5194"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643"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公开08表</w:t>
            </w:r>
          </w:p>
        </w:tc>
      </w:tr>
      <w:tr w:rsidR="006B34BD">
        <w:trPr>
          <w:cantSplit/>
          <w:trHeight w:val="227"/>
        </w:trPr>
        <w:tc>
          <w:tcPr>
            <w:tcW w:w="4267"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color w:val="000000"/>
                <w:kern w:val="0"/>
                <w:sz w:val="24"/>
                <w:szCs w:val="24"/>
              </w:rPr>
            </w:pPr>
          </w:p>
        </w:tc>
        <w:tc>
          <w:tcPr>
            <w:tcW w:w="1559"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327" w:type="dxa"/>
            <w:tcBorders>
              <w:top w:val="nil"/>
              <w:left w:val="nil"/>
              <w:bottom w:val="nil"/>
              <w:right w:val="nil"/>
            </w:tcBorders>
            <w:shd w:val="clear" w:color="auto" w:fill="auto"/>
            <w:noWrap/>
            <w:vAlign w:val="center"/>
          </w:tcPr>
          <w:p w:rsidR="006B34BD" w:rsidRDefault="006B34BD">
            <w:pPr>
              <w:widowControl/>
              <w:jc w:val="center"/>
              <w:rPr>
                <w:rFonts w:ascii="宋体" w:eastAsia="宋体" w:hAnsi="宋体" w:cs="Arial"/>
                <w:color w:val="000000"/>
                <w:kern w:val="0"/>
                <w:sz w:val="24"/>
                <w:szCs w:val="24"/>
              </w:rPr>
            </w:pPr>
          </w:p>
        </w:tc>
        <w:tc>
          <w:tcPr>
            <w:tcW w:w="5194" w:type="dxa"/>
            <w:tcBorders>
              <w:top w:val="nil"/>
              <w:left w:val="nil"/>
              <w:bottom w:val="nil"/>
              <w:right w:val="nil"/>
            </w:tcBorders>
            <w:shd w:val="clear" w:color="auto" w:fill="auto"/>
            <w:noWrap/>
            <w:vAlign w:val="center"/>
          </w:tcPr>
          <w:p w:rsidR="006B34BD" w:rsidRDefault="006B34BD">
            <w:pPr>
              <w:widowControl/>
              <w:jc w:val="left"/>
              <w:rPr>
                <w:rFonts w:ascii="宋体" w:eastAsia="宋体" w:hAnsi="宋体" w:cs="Arial"/>
                <w:kern w:val="0"/>
                <w:sz w:val="18"/>
                <w:szCs w:val="18"/>
              </w:rPr>
            </w:pPr>
          </w:p>
        </w:tc>
        <w:tc>
          <w:tcPr>
            <w:tcW w:w="1643" w:type="dxa"/>
            <w:tcBorders>
              <w:top w:val="nil"/>
              <w:left w:val="nil"/>
              <w:bottom w:val="nil"/>
              <w:right w:val="nil"/>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单位：万元</w:t>
            </w:r>
          </w:p>
        </w:tc>
      </w:tr>
      <w:tr w:rsidR="006B34BD">
        <w:trPr>
          <w:trHeight w:val="227"/>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  目</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预算数</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决算数</w:t>
            </w:r>
          </w:p>
        </w:tc>
        <w:tc>
          <w:tcPr>
            <w:tcW w:w="5194" w:type="dxa"/>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  目</w:t>
            </w:r>
          </w:p>
        </w:tc>
        <w:tc>
          <w:tcPr>
            <w:tcW w:w="1643" w:type="dxa"/>
            <w:tcBorders>
              <w:top w:val="single" w:sz="4" w:space="0" w:color="auto"/>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决算数</w:t>
            </w:r>
          </w:p>
        </w:tc>
      </w:tr>
      <w:tr w:rsidR="006B34BD">
        <w:trPr>
          <w:trHeight w:val="227"/>
        </w:trPr>
        <w:tc>
          <w:tcPr>
            <w:tcW w:w="4267"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一、“三公”经费支出</w:t>
            </w:r>
          </w:p>
        </w:tc>
        <w:tc>
          <w:tcPr>
            <w:tcW w:w="1559"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519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四、机关运行经费</w:t>
            </w:r>
          </w:p>
        </w:tc>
        <w:tc>
          <w:tcPr>
            <w:tcW w:w="1643"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246.12</w:t>
            </w:r>
          </w:p>
        </w:tc>
      </w:tr>
      <w:tr w:rsidR="006B34BD">
        <w:trPr>
          <w:trHeight w:val="227"/>
        </w:trPr>
        <w:tc>
          <w:tcPr>
            <w:tcW w:w="4267"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（一）支出合计</w:t>
            </w:r>
          </w:p>
        </w:tc>
        <w:tc>
          <w:tcPr>
            <w:tcW w:w="1559"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67.00</w:t>
            </w:r>
          </w:p>
        </w:tc>
        <w:tc>
          <w:tcPr>
            <w:tcW w:w="1327"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58.05</w:t>
            </w:r>
          </w:p>
        </w:tc>
        <w:tc>
          <w:tcPr>
            <w:tcW w:w="519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（一）行政单位</w:t>
            </w:r>
          </w:p>
        </w:tc>
        <w:tc>
          <w:tcPr>
            <w:tcW w:w="1643"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246.12</w:t>
            </w:r>
          </w:p>
        </w:tc>
      </w:tr>
      <w:tr w:rsidR="006B34BD">
        <w:trPr>
          <w:trHeight w:val="227"/>
        </w:trPr>
        <w:tc>
          <w:tcPr>
            <w:tcW w:w="4267"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1．因公出国（境）费</w:t>
            </w:r>
          </w:p>
        </w:tc>
        <w:tc>
          <w:tcPr>
            <w:tcW w:w="1559"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519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（二）参照公务员法管理事业单位</w:t>
            </w:r>
          </w:p>
        </w:tc>
        <w:tc>
          <w:tcPr>
            <w:tcW w:w="1643"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227"/>
        </w:trPr>
        <w:tc>
          <w:tcPr>
            <w:tcW w:w="4267"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2．公务用车购置及运行维护费</w:t>
            </w:r>
          </w:p>
        </w:tc>
        <w:tc>
          <w:tcPr>
            <w:tcW w:w="1559"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47.00</w:t>
            </w:r>
          </w:p>
        </w:tc>
        <w:tc>
          <w:tcPr>
            <w:tcW w:w="1327"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46.61</w:t>
            </w:r>
          </w:p>
        </w:tc>
        <w:tc>
          <w:tcPr>
            <w:tcW w:w="519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五、国有资产占用情况</w:t>
            </w:r>
          </w:p>
        </w:tc>
        <w:tc>
          <w:tcPr>
            <w:tcW w:w="1643"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r>
      <w:tr w:rsidR="006B34BD">
        <w:trPr>
          <w:trHeight w:val="227"/>
        </w:trPr>
        <w:tc>
          <w:tcPr>
            <w:tcW w:w="4267"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（1）公务用车购置费</w:t>
            </w:r>
          </w:p>
        </w:tc>
        <w:tc>
          <w:tcPr>
            <w:tcW w:w="1559"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519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（一）车辆数合计（辆）</w:t>
            </w:r>
          </w:p>
        </w:tc>
        <w:tc>
          <w:tcPr>
            <w:tcW w:w="1643"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w:t>
            </w:r>
          </w:p>
        </w:tc>
      </w:tr>
      <w:tr w:rsidR="006B34BD">
        <w:trPr>
          <w:trHeight w:val="227"/>
        </w:trPr>
        <w:tc>
          <w:tcPr>
            <w:tcW w:w="4267" w:type="dxa"/>
            <w:tcBorders>
              <w:top w:val="nil"/>
              <w:left w:val="single" w:sz="4" w:space="0" w:color="auto"/>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（2）公务用车运行维护费</w:t>
            </w:r>
          </w:p>
        </w:tc>
        <w:tc>
          <w:tcPr>
            <w:tcW w:w="1559"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47.00</w:t>
            </w:r>
          </w:p>
        </w:tc>
        <w:tc>
          <w:tcPr>
            <w:tcW w:w="1327"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46.61</w:t>
            </w:r>
          </w:p>
        </w:tc>
        <w:tc>
          <w:tcPr>
            <w:tcW w:w="5194"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1.副部（省）级及以上领导用车</w:t>
            </w:r>
          </w:p>
        </w:tc>
        <w:tc>
          <w:tcPr>
            <w:tcW w:w="1643" w:type="dxa"/>
            <w:tcBorders>
              <w:top w:val="nil"/>
              <w:left w:val="nil"/>
              <w:bottom w:val="single" w:sz="4" w:space="0" w:color="auto"/>
              <w:right w:val="single" w:sz="4" w:space="0" w:color="auto"/>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3．公务接待费</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20.00</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11.44</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2.主要领导干部用车</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（1）国内接待费</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20.00</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11.44</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3.机要通信用车</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其中：外事接待费</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4.应急保障用车</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5</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（2）国（境）外接待费</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5.执法执勤用车</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（二）相关统计数</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6.特种专业技术用车</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1．因公出国（境）团组数（个）</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7.离退休干部用车</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2．因公出国（境）人次数（人）</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8.其他用车</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3．公务用车购置数（辆）</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（二）单价50万元（含）以上通用设备（台，套）</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4．公务用车保有量（辆）</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8</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（三）单价100万（含）元以上专用设备（台，套）</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5．国内公务接待批次（个）</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92</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六、政府采购支出信息</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其中：外事接待批次（个）</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（一）政府采购支出合计</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20.91</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6．国内公务接待人次（人）</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1,200</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1．政府采购货物支出</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17.64</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其中：外事接待人次（人）</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2．政府采购工程支出</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7．国（境）外公务接待批次（个）</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3．政府采购服务支出</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3.28</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8．国（境）外公务接待人次（人）</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（二）政府采购授予中小企业合同金额</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20.91</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二、会议费</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4.50</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4.43</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其中：授予小微企业合同金额</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20.91</w:t>
            </w:r>
          </w:p>
        </w:tc>
      </w:tr>
      <w:tr w:rsidR="006B34BD">
        <w:trPr>
          <w:trHeight w:val="227"/>
        </w:trPr>
        <w:tc>
          <w:tcPr>
            <w:tcW w:w="4267" w:type="dxa"/>
            <w:tcBorders>
              <w:top w:val="nil"/>
              <w:left w:val="single" w:sz="4" w:space="0" w:color="000000"/>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三、培训费</w:t>
            </w:r>
          </w:p>
        </w:tc>
        <w:tc>
          <w:tcPr>
            <w:tcW w:w="1559"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3.20</w:t>
            </w:r>
          </w:p>
        </w:tc>
        <w:tc>
          <w:tcPr>
            <w:tcW w:w="1327"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right"/>
              <w:rPr>
                <w:rFonts w:ascii="宋体" w:eastAsia="宋体" w:hAnsi="宋体" w:cs="Arial"/>
                <w:kern w:val="0"/>
                <w:sz w:val="20"/>
                <w:szCs w:val="20"/>
              </w:rPr>
            </w:pPr>
            <w:r>
              <w:rPr>
                <w:rFonts w:ascii="宋体" w:eastAsia="宋体" w:hAnsi="宋体" w:cs="Arial" w:hint="eastAsia"/>
                <w:kern w:val="0"/>
                <w:sz w:val="20"/>
                <w:szCs w:val="20"/>
              </w:rPr>
              <w:t>2.42</w:t>
            </w:r>
          </w:p>
        </w:tc>
        <w:tc>
          <w:tcPr>
            <w:tcW w:w="5194"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43" w:type="dxa"/>
            <w:tcBorders>
              <w:top w:val="nil"/>
              <w:left w:val="nil"/>
              <w:bottom w:val="single" w:sz="4" w:space="0" w:color="000000"/>
              <w:right w:val="single" w:sz="4" w:space="0" w:color="000000"/>
            </w:tcBorders>
            <w:shd w:val="clear" w:color="auto" w:fill="auto"/>
            <w:noWrap/>
            <w:vAlign w:val="center"/>
          </w:tcPr>
          <w:p w:rsidR="006B34BD" w:rsidRDefault="004F6E30">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r>
    </w:tbl>
    <w:p w:rsidR="006B34BD" w:rsidRDefault="006B34BD">
      <w:pPr>
        <w:spacing w:line="20" w:lineRule="exact"/>
        <w:rPr>
          <w:rFonts w:ascii="Times New Roman" w:hAnsi="Times New Roman" w:cs="Times New Roman"/>
          <w:sz w:val="32"/>
          <w:szCs w:val="32"/>
        </w:rPr>
      </w:pPr>
    </w:p>
    <w:sectPr w:rsidR="006B34BD" w:rsidSect="006B34BD">
      <w:pgSz w:w="16838" w:h="11906" w:orient="landscape"/>
      <w:pgMar w:top="1077" w:right="1418" w:bottom="107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CE2" w:rsidRDefault="00E37CE2" w:rsidP="004F6E30">
      <w:r>
        <w:separator/>
      </w:r>
    </w:p>
  </w:endnote>
  <w:endnote w:type="continuationSeparator" w:id="0">
    <w:p w:rsidR="00E37CE2" w:rsidRDefault="00E37CE2" w:rsidP="004F6E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CE2" w:rsidRDefault="00E37CE2" w:rsidP="004F6E30">
      <w:r>
        <w:separator/>
      </w:r>
    </w:p>
  </w:footnote>
  <w:footnote w:type="continuationSeparator" w:id="0">
    <w:p w:rsidR="00E37CE2" w:rsidRDefault="00E37CE2" w:rsidP="004F6E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B96"/>
    <w:rsid w:val="00011B14"/>
    <w:rsid w:val="000266E5"/>
    <w:rsid w:val="00027C0E"/>
    <w:rsid w:val="00041735"/>
    <w:rsid w:val="00041ED0"/>
    <w:rsid w:val="0004411C"/>
    <w:rsid w:val="000544C5"/>
    <w:rsid w:val="000717F3"/>
    <w:rsid w:val="00080BC8"/>
    <w:rsid w:val="00080C49"/>
    <w:rsid w:val="00093CF7"/>
    <w:rsid w:val="000B4D74"/>
    <w:rsid w:val="000C0121"/>
    <w:rsid w:val="000E3F9B"/>
    <w:rsid w:val="000E6C68"/>
    <w:rsid w:val="000F521C"/>
    <w:rsid w:val="001167B5"/>
    <w:rsid w:val="00122CFA"/>
    <w:rsid w:val="00125E4F"/>
    <w:rsid w:val="00136273"/>
    <w:rsid w:val="00142086"/>
    <w:rsid w:val="0016134D"/>
    <w:rsid w:val="001630FB"/>
    <w:rsid w:val="00166B96"/>
    <w:rsid w:val="001810D3"/>
    <w:rsid w:val="001820C8"/>
    <w:rsid w:val="001822CA"/>
    <w:rsid w:val="00184CD1"/>
    <w:rsid w:val="001B1C2A"/>
    <w:rsid w:val="001C65AC"/>
    <w:rsid w:val="001F06E9"/>
    <w:rsid w:val="001F2880"/>
    <w:rsid w:val="001F3D04"/>
    <w:rsid w:val="001F3D61"/>
    <w:rsid w:val="002208B2"/>
    <w:rsid w:val="002247C6"/>
    <w:rsid w:val="00226BB7"/>
    <w:rsid w:val="00226F87"/>
    <w:rsid w:val="00235F64"/>
    <w:rsid w:val="002405C3"/>
    <w:rsid w:val="002458D8"/>
    <w:rsid w:val="00254551"/>
    <w:rsid w:val="002857D9"/>
    <w:rsid w:val="00293D1A"/>
    <w:rsid w:val="002B487F"/>
    <w:rsid w:val="002C52A7"/>
    <w:rsid w:val="002D0C02"/>
    <w:rsid w:val="002D41CD"/>
    <w:rsid w:val="002E464E"/>
    <w:rsid w:val="002E7632"/>
    <w:rsid w:val="002F6C38"/>
    <w:rsid w:val="00321B18"/>
    <w:rsid w:val="003260F9"/>
    <w:rsid w:val="00357ACE"/>
    <w:rsid w:val="00362003"/>
    <w:rsid w:val="003714E0"/>
    <w:rsid w:val="0039053A"/>
    <w:rsid w:val="00391E97"/>
    <w:rsid w:val="00392654"/>
    <w:rsid w:val="003A5638"/>
    <w:rsid w:val="003A6B56"/>
    <w:rsid w:val="003B28BC"/>
    <w:rsid w:val="003B73AC"/>
    <w:rsid w:val="003C18BD"/>
    <w:rsid w:val="003C29FE"/>
    <w:rsid w:val="003D62D1"/>
    <w:rsid w:val="003D705D"/>
    <w:rsid w:val="003E2433"/>
    <w:rsid w:val="003E5FE9"/>
    <w:rsid w:val="004016CE"/>
    <w:rsid w:val="00404A9A"/>
    <w:rsid w:val="004067DF"/>
    <w:rsid w:val="00423558"/>
    <w:rsid w:val="00443E20"/>
    <w:rsid w:val="00455EB9"/>
    <w:rsid w:val="004A0585"/>
    <w:rsid w:val="004A0A59"/>
    <w:rsid w:val="004A32AF"/>
    <w:rsid w:val="004B5285"/>
    <w:rsid w:val="004C6220"/>
    <w:rsid w:val="004D4003"/>
    <w:rsid w:val="004F2C53"/>
    <w:rsid w:val="004F6E30"/>
    <w:rsid w:val="00501527"/>
    <w:rsid w:val="005147D5"/>
    <w:rsid w:val="005152CD"/>
    <w:rsid w:val="005173A3"/>
    <w:rsid w:val="005223B7"/>
    <w:rsid w:val="0053362E"/>
    <w:rsid w:val="00536D06"/>
    <w:rsid w:val="0056189A"/>
    <w:rsid w:val="00575477"/>
    <w:rsid w:val="00592B72"/>
    <w:rsid w:val="005B6AED"/>
    <w:rsid w:val="005D148E"/>
    <w:rsid w:val="005F3415"/>
    <w:rsid w:val="00605875"/>
    <w:rsid w:val="00611B0E"/>
    <w:rsid w:val="0061550E"/>
    <w:rsid w:val="00623173"/>
    <w:rsid w:val="00630513"/>
    <w:rsid w:val="00643C2C"/>
    <w:rsid w:val="00647C17"/>
    <w:rsid w:val="0065050D"/>
    <w:rsid w:val="00664DE7"/>
    <w:rsid w:val="00666FC9"/>
    <w:rsid w:val="00685E8A"/>
    <w:rsid w:val="006865C9"/>
    <w:rsid w:val="006B34BD"/>
    <w:rsid w:val="006B5356"/>
    <w:rsid w:val="006C6517"/>
    <w:rsid w:val="006D121B"/>
    <w:rsid w:val="006D5119"/>
    <w:rsid w:val="006E5BE1"/>
    <w:rsid w:val="00704F20"/>
    <w:rsid w:val="007159E8"/>
    <w:rsid w:val="007252F9"/>
    <w:rsid w:val="00725786"/>
    <w:rsid w:val="00731B13"/>
    <w:rsid w:val="007343D9"/>
    <w:rsid w:val="00741544"/>
    <w:rsid w:val="0074395A"/>
    <w:rsid w:val="0074466C"/>
    <w:rsid w:val="007571BE"/>
    <w:rsid w:val="0077743F"/>
    <w:rsid w:val="00781361"/>
    <w:rsid w:val="00783DB7"/>
    <w:rsid w:val="00784ACB"/>
    <w:rsid w:val="007A02A8"/>
    <w:rsid w:val="007C3DA9"/>
    <w:rsid w:val="007D0B91"/>
    <w:rsid w:val="00801558"/>
    <w:rsid w:val="00804805"/>
    <w:rsid w:val="008151ED"/>
    <w:rsid w:val="00820AC8"/>
    <w:rsid w:val="00837659"/>
    <w:rsid w:val="00843638"/>
    <w:rsid w:val="00843B67"/>
    <w:rsid w:val="008504CA"/>
    <w:rsid w:val="00863116"/>
    <w:rsid w:val="0086345A"/>
    <w:rsid w:val="00863D34"/>
    <w:rsid w:val="008702C5"/>
    <w:rsid w:val="00880E7E"/>
    <w:rsid w:val="00886323"/>
    <w:rsid w:val="00891F07"/>
    <w:rsid w:val="008B13DD"/>
    <w:rsid w:val="008C41CA"/>
    <w:rsid w:val="008D22E8"/>
    <w:rsid w:val="008E5569"/>
    <w:rsid w:val="008F6D8B"/>
    <w:rsid w:val="00931E8E"/>
    <w:rsid w:val="00941007"/>
    <w:rsid w:val="00944CEF"/>
    <w:rsid w:val="00954D4D"/>
    <w:rsid w:val="00981372"/>
    <w:rsid w:val="0099441A"/>
    <w:rsid w:val="00996226"/>
    <w:rsid w:val="009A07B2"/>
    <w:rsid w:val="009A487C"/>
    <w:rsid w:val="009B7BC8"/>
    <w:rsid w:val="009D25C8"/>
    <w:rsid w:val="009D671A"/>
    <w:rsid w:val="009E595C"/>
    <w:rsid w:val="009F5979"/>
    <w:rsid w:val="00A006D6"/>
    <w:rsid w:val="00A16592"/>
    <w:rsid w:val="00A4658F"/>
    <w:rsid w:val="00A46D01"/>
    <w:rsid w:val="00A47CEE"/>
    <w:rsid w:val="00A509B0"/>
    <w:rsid w:val="00A515E4"/>
    <w:rsid w:val="00A535B1"/>
    <w:rsid w:val="00A61CB3"/>
    <w:rsid w:val="00A645B2"/>
    <w:rsid w:val="00A67D57"/>
    <w:rsid w:val="00A72F6A"/>
    <w:rsid w:val="00A75C81"/>
    <w:rsid w:val="00A8051A"/>
    <w:rsid w:val="00A85BF9"/>
    <w:rsid w:val="00AA1AF5"/>
    <w:rsid w:val="00AA53C6"/>
    <w:rsid w:val="00AD25C2"/>
    <w:rsid w:val="00AD4E9C"/>
    <w:rsid w:val="00AD734D"/>
    <w:rsid w:val="00AE4B6C"/>
    <w:rsid w:val="00B1659C"/>
    <w:rsid w:val="00B41F75"/>
    <w:rsid w:val="00B545FE"/>
    <w:rsid w:val="00B562A5"/>
    <w:rsid w:val="00B620E2"/>
    <w:rsid w:val="00B67B60"/>
    <w:rsid w:val="00B8117B"/>
    <w:rsid w:val="00B840A0"/>
    <w:rsid w:val="00B853CF"/>
    <w:rsid w:val="00BB270B"/>
    <w:rsid w:val="00BE648D"/>
    <w:rsid w:val="00BF5FAB"/>
    <w:rsid w:val="00C1280E"/>
    <w:rsid w:val="00C923F3"/>
    <w:rsid w:val="00C973FF"/>
    <w:rsid w:val="00CA2D27"/>
    <w:rsid w:val="00CC48E4"/>
    <w:rsid w:val="00CC7026"/>
    <w:rsid w:val="00CD2284"/>
    <w:rsid w:val="00CE1410"/>
    <w:rsid w:val="00CE1B7D"/>
    <w:rsid w:val="00CE4220"/>
    <w:rsid w:val="00CE6A94"/>
    <w:rsid w:val="00CF534E"/>
    <w:rsid w:val="00D02016"/>
    <w:rsid w:val="00D020E2"/>
    <w:rsid w:val="00D059CD"/>
    <w:rsid w:val="00D06FFB"/>
    <w:rsid w:val="00D126FD"/>
    <w:rsid w:val="00D204B8"/>
    <w:rsid w:val="00D24410"/>
    <w:rsid w:val="00D3051B"/>
    <w:rsid w:val="00D47FBC"/>
    <w:rsid w:val="00D7430B"/>
    <w:rsid w:val="00D8274B"/>
    <w:rsid w:val="00DB5F39"/>
    <w:rsid w:val="00DB79F0"/>
    <w:rsid w:val="00DC106A"/>
    <w:rsid w:val="00DD5D5B"/>
    <w:rsid w:val="00DE5A40"/>
    <w:rsid w:val="00E16318"/>
    <w:rsid w:val="00E32F17"/>
    <w:rsid w:val="00E344CC"/>
    <w:rsid w:val="00E37CE2"/>
    <w:rsid w:val="00E85BFB"/>
    <w:rsid w:val="00E87462"/>
    <w:rsid w:val="00EC2798"/>
    <w:rsid w:val="00EC6373"/>
    <w:rsid w:val="00EF32D8"/>
    <w:rsid w:val="00EF6532"/>
    <w:rsid w:val="00F04D03"/>
    <w:rsid w:val="00F438B4"/>
    <w:rsid w:val="00F66DE7"/>
    <w:rsid w:val="00F74D1E"/>
    <w:rsid w:val="00F9099D"/>
    <w:rsid w:val="00F91756"/>
    <w:rsid w:val="00F9189F"/>
    <w:rsid w:val="00FA49FE"/>
    <w:rsid w:val="00FC5133"/>
    <w:rsid w:val="00FD2DE5"/>
    <w:rsid w:val="0B3205A3"/>
    <w:rsid w:val="0DDA7205"/>
    <w:rsid w:val="1CDF27E8"/>
    <w:rsid w:val="66D7571A"/>
    <w:rsid w:val="79595B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34BD"/>
    <w:rPr>
      <w:sz w:val="18"/>
      <w:szCs w:val="18"/>
    </w:rPr>
  </w:style>
  <w:style w:type="paragraph" w:styleId="a4">
    <w:name w:val="footer"/>
    <w:basedOn w:val="a"/>
    <w:link w:val="Char0"/>
    <w:uiPriority w:val="99"/>
    <w:semiHidden/>
    <w:unhideWhenUsed/>
    <w:rsid w:val="006B34BD"/>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6B34B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6B34B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B34BD"/>
    <w:rPr>
      <w:b/>
      <w:bCs/>
    </w:rPr>
  </w:style>
  <w:style w:type="character" w:customStyle="1" w:styleId="Char1">
    <w:name w:val="页眉 Char"/>
    <w:basedOn w:val="a0"/>
    <w:link w:val="a5"/>
    <w:uiPriority w:val="99"/>
    <w:semiHidden/>
    <w:rsid w:val="006B34BD"/>
    <w:rPr>
      <w:sz w:val="18"/>
      <w:szCs w:val="18"/>
    </w:rPr>
  </w:style>
  <w:style w:type="character" w:customStyle="1" w:styleId="Char0">
    <w:name w:val="页脚 Char"/>
    <w:basedOn w:val="a0"/>
    <w:link w:val="a4"/>
    <w:uiPriority w:val="99"/>
    <w:semiHidden/>
    <w:rsid w:val="006B34BD"/>
    <w:rPr>
      <w:sz w:val="18"/>
      <w:szCs w:val="18"/>
    </w:rPr>
  </w:style>
  <w:style w:type="character" w:customStyle="1" w:styleId="Char">
    <w:name w:val="批注框文本 Char"/>
    <w:basedOn w:val="a0"/>
    <w:link w:val="a3"/>
    <w:uiPriority w:val="99"/>
    <w:semiHidden/>
    <w:qFormat/>
    <w:rsid w:val="006B34BD"/>
    <w:rPr>
      <w:sz w:val="18"/>
      <w:szCs w:val="18"/>
    </w:rPr>
  </w:style>
  <w:style w:type="paragraph" w:customStyle="1" w:styleId="Char2">
    <w:name w:val="普通(网站) Char"/>
    <w:basedOn w:val="a"/>
    <w:rsid w:val="006B34BD"/>
    <w:pPr>
      <w:widowControl/>
      <w:spacing w:before="100" w:beforeAutospacing="1" w:after="100" w:afterAutospacing="1"/>
      <w:jc w:val="left"/>
    </w:pPr>
    <w:rPr>
      <w:rFonts w:ascii="宋体" w:eastAsia="宋体" w:hAnsi="宋体" w:cs="宋体"/>
      <w:kern w:val="0"/>
      <w:sz w:val="24"/>
      <w:szCs w:val="24"/>
    </w:rPr>
  </w:style>
  <w:style w:type="character" w:customStyle="1" w:styleId="20">
    <w:name w:val="20"/>
    <w:basedOn w:val="a0"/>
    <w:rsid w:val="006B34BD"/>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652442514">
      <w:bodyDiv w:val="1"/>
      <w:marLeft w:val="0"/>
      <w:marRight w:val="0"/>
      <w:marTop w:val="0"/>
      <w:marBottom w:val="0"/>
      <w:divBdr>
        <w:top w:val="none" w:sz="0" w:space="0" w:color="auto"/>
        <w:left w:val="none" w:sz="0" w:space="0" w:color="auto"/>
        <w:bottom w:val="none" w:sz="0" w:space="0" w:color="auto"/>
        <w:right w:val="none" w:sz="0" w:space="0" w:color="auto"/>
      </w:divBdr>
      <w:divsChild>
        <w:div w:id="778834823">
          <w:marLeft w:val="0"/>
          <w:marRight w:val="0"/>
          <w:marTop w:val="0"/>
          <w:marBottom w:val="0"/>
          <w:divBdr>
            <w:top w:val="none" w:sz="0" w:space="0" w:color="auto"/>
            <w:left w:val="none" w:sz="0" w:space="0" w:color="auto"/>
            <w:bottom w:val="none" w:sz="0" w:space="0" w:color="auto"/>
            <w:right w:val="none" w:sz="0" w:space="0" w:color="auto"/>
          </w:divBdr>
        </w:div>
        <w:div w:id="867333716">
          <w:marLeft w:val="0"/>
          <w:marRight w:val="0"/>
          <w:marTop w:val="0"/>
          <w:marBottom w:val="0"/>
          <w:divBdr>
            <w:top w:val="none" w:sz="0" w:space="0" w:color="auto"/>
            <w:left w:val="none" w:sz="0" w:space="0" w:color="auto"/>
            <w:bottom w:val="none" w:sz="0" w:space="0" w:color="auto"/>
            <w:right w:val="none" w:sz="0" w:space="0" w:color="auto"/>
          </w:divBdr>
        </w:div>
        <w:div w:id="550962943">
          <w:marLeft w:val="0"/>
          <w:marRight w:val="0"/>
          <w:marTop w:val="0"/>
          <w:marBottom w:val="0"/>
          <w:divBdr>
            <w:top w:val="none" w:sz="0" w:space="0" w:color="auto"/>
            <w:left w:val="none" w:sz="0" w:space="0" w:color="auto"/>
            <w:bottom w:val="none" w:sz="0" w:space="0" w:color="auto"/>
            <w:right w:val="none" w:sz="0" w:space="0" w:color="auto"/>
          </w:divBdr>
        </w:div>
        <w:div w:id="2138645698">
          <w:marLeft w:val="0"/>
          <w:marRight w:val="0"/>
          <w:marTop w:val="0"/>
          <w:marBottom w:val="0"/>
          <w:divBdr>
            <w:top w:val="none" w:sz="0" w:space="0" w:color="auto"/>
            <w:left w:val="none" w:sz="0" w:space="0" w:color="auto"/>
            <w:bottom w:val="none" w:sz="0" w:space="0" w:color="auto"/>
            <w:right w:val="none" w:sz="0" w:space="0" w:color="auto"/>
          </w:divBdr>
        </w:div>
        <w:div w:id="825515102">
          <w:marLeft w:val="0"/>
          <w:marRight w:val="0"/>
          <w:marTop w:val="0"/>
          <w:marBottom w:val="0"/>
          <w:divBdr>
            <w:top w:val="none" w:sz="0" w:space="0" w:color="auto"/>
            <w:left w:val="none" w:sz="0" w:space="0" w:color="auto"/>
            <w:bottom w:val="none" w:sz="0" w:space="0" w:color="auto"/>
            <w:right w:val="none" w:sz="0" w:space="0" w:color="auto"/>
          </w:divBdr>
        </w:div>
        <w:div w:id="768818008">
          <w:marLeft w:val="0"/>
          <w:marRight w:val="0"/>
          <w:marTop w:val="0"/>
          <w:marBottom w:val="0"/>
          <w:divBdr>
            <w:top w:val="none" w:sz="0" w:space="0" w:color="auto"/>
            <w:left w:val="none" w:sz="0" w:space="0" w:color="auto"/>
            <w:bottom w:val="none" w:sz="0" w:space="0" w:color="auto"/>
            <w:right w:val="none" w:sz="0" w:space="0" w:color="auto"/>
          </w:divBdr>
        </w:div>
        <w:div w:id="1261908794">
          <w:marLeft w:val="0"/>
          <w:marRight w:val="0"/>
          <w:marTop w:val="0"/>
          <w:marBottom w:val="0"/>
          <w:divBdr>
            <w:top w:val="none" w:sz="0" w:space="0" w:color="auto"/>
            <w:left w:val="none" w:sz="0" w:space="0" w:color="auto"/>
            <w:bottom w:val="none" w:sz="0" w:space="0" w:color="auto"/>
            <w:right w:val="none" w:sz="0" w:space="0" w:color="auto"/>
          </w:divBdr>
        </w:div>
        <w:div w:id="447816461">
          <w:marLeft w:val="0"/>
          <w:marRight w:val="0"/>
          <w:marTop w:val="0"/>
          <w:marBottom w:val="0"/>
          <w:divBdr>
            <w:top w:val="none" w:sz="0" w:space="0" w:color="auto"/>
            <w:left w:val="none" w:sz="0" w:space="0" w:color="auto"/>
            <w:bottom w:val="none" w:sz="0" w:space="0" w:color="auto"/>
            <w:right w:val="none" w:sz="0" w:space="0" w:color="auto"/>
          </w:divBdr>
          <w:divsChild>
            <w:div w:id="1270896394">
              <w:marLeft w:val="0"/>
              <w:marRight w:val="0"/>
              <w:marTop w:val="0"/>
              <w:marBottom w:val="0"/>
              <w:divBdr>
                <w:top w:val="none" w:sz="0" w:space="0" w:color="auto"/>
                <w:left w:val="none" w:sz="0" w:space="0" w:color="auto"/>
                <w:bottom w:val="none" w:sz="0" w:space="0" w:color="auto"/>
                <w:right w:val="none" w:sz="0" w:space="0" w:color="auto"/>
              </w:divBdr>
            </w:div>
            <w:div w:id="952633945">
              <w:marLeft w:val="0"/>
              <w:marRight w:val="0"/>
              <w:marTop w:val="0"/>
              <w:marBottom w:val="0"/>
              <w:divBdr>
                <w:top w:val="none" w:sz="0" w:space="0" w:color="auto"/>
                <w:left w:val="none" w:sz="0" w:space="0" w:color="auto"/>
                <w:bottom w:val="none" w:sz="0" w:space="0" w:color="auto"/>
                <w:right w:val="none" w:sz="0" w:space="0" w:color="auto"/>
              </w:divBdr>
            </w:div>
            <w:div w:id="2002852449">
              <w:marLeft w:val="0"/>
              <w:marRight w:val="0"/>
              <w:marTop w:val="0"/>
              <w:marBottom w:val="0"/>
              <w:divBdr>
                <w:top w:val="none" w:sz="0" w:space="0" w:color="auto"/>
                <w:left w:val="none" w:sz="0" w:space="0" w:color="auto"/>
                <w:bottom w:val="none" w:sz="0" w:space="0" w:color="auto"/>
                <w:right w:val="none" w:sz="0" w:space="0" w:color="auto"/>
              </w:divBdr>
            </w:div>
          </w:divsChild>
        </w:div>
        <w:div w:id="607078194">
          <w:marLeft w:val="0"/>
          <w:marRight w:val="0"/>
          <w:marTop w:val="0"/>
          <w:marBottom w:val="0"/>
          <w:divBdr>
            <w:top w:val="none" w:sz="0" w:space="0" w:color="auto"/>
            <w:left w:val="none" w:sz="0" w:space="0" w:color="auto"/>
            <w:bottom w:val="none" w:sz="0" w:space="0" w:color="auto"/>
            <w:right w:val="none" w:sz="0" w:space="0" w:color="auto"/>
          </w:divBdr>
          <w:divsChild>
            <w:div w:id="967051415">
              <w:marLeft w:val="0"/>
              <w:marRight w:val="0"/>
              <w:marTop w:val="0"/>
              <w:marBottom w:val="0"/>
              <w:divBdr>
                <w:top w:val="none" w:sz="0" w:space="0" w:color="auto"/>
                <w:left w:val="none" w:sz="0" w:space="0" w:color="auto"/>
                <w:bottom w:val="none" w:sz="0" w:space="0" w:color="auto"/>
                <w:right w:val="none" w:sz="0" w:space="0" w:color="auto"/>
              </w:divBdr>
            </w:div>
            <w:div w:id="465052368">
              <w:marLeft w:val="0"/>
              <w:marRight w:val="0"/>
              <w:marTop w:val="0"/>
              <w:marBottom w:val="0"/>
              <w:divBdr>
                <w:top w:val="none" w:sz="0" w:space="0" w:color="auto"/>
                <w:left w:val="none" w:sz="0" w:space="0" w:color="auto"/>
                <w:bottom w:val="none" w:sz="0" w:space="0" w:color="auto"/>
                <w:right w:val="none" w:sz="0" w:space="0" w:color="auto"/>
              </w:divBdr>
            </w:div>
          </w:divsChild>
        </w:div>
        <w:div w:id="1497988922">
          <w:marLeft w:val="0"/>
          <w:marRight w:val="0"/>
          <w:marTop w:val="0"/>
          <w:marBottom w:val="0"/>
          <w:divBdr>
            <w:top w:val="none" w:sz="0" w:space="0" w:color="auto"/>
            <w:left w:val="none" w:sz="0" w:space="0" w:color="auto"/>
            <w:bottom w:val="none" w:sz="0" w:space="0" w:color="auto"/>
            <w:right w:val="none" w:sz="0" w:space="0" w:color="auto"/>
          </w:divBdr>
        </w:div>
        <w:div w:id="1181433079">
          <w:marLeft w:val="0"/>
          <w:marRight w:val="0"/>
          <w:marTop w:val="0"/>
          <w:marBottom w:val="0"/>
          <w:divBdr>
            <w:top w:val="none" w:sz="0" w:space="0" w:color="auto"/>
            <w:left w:val="none" w:sz="0" w:space="0" w:color="auto"/>
            <w:bottom w:val="none" w:sz="0" w:space="0" w:color="auto"/>
            <w:right w:val="none" w:sz="0" w:space="0" w:color="auto"/>
          </w:divBdr>
          <w:divsChild>
            <w:div w:id="82652138">
              <w:marLeft w:val="0"/>
              <w:marRight w:val="0"/>
              <w:marTop w:val="0"/>
              <w:marBottom w:val="0"/>
              <w:divBdr>
                <w:top w:val="none" w:sz="0" w:space="0" w:color="auto"/>
                <w:left w:val="none" w:sz="0" w:space="0" w:color="auto"/>
                <w:bottom w:val="none" w:sz="0" w:space="0" w:color="auto"/>
                <w:right w:val="none" w:sz="0" w:space="0" w:color="auto"/>
              </w:divBdr>
            </w:div>
            <w:div w:id="1093867000">
              <w:marLeft w:val="0"/>
              <w:marRight w:val="0"/>
              <w:marTop w:val="0"/>
              <w:marBottom w:val="0"/>
              <w:divBdr>
                <w:top w:val="none" w:sz="0" w:space="0" w:color="auto"/>
                <w:left w:val="none" w:sz="0" w:space="0" w:color="auto"/>
                <w:bottom w:val="none" w:sz="0" w:space="0" w:color="auto"/>
                <w:right w:val="none" w:sz="0" w:space="0" w:color="auto"/>
              </w:divBdr>
            </w:div>
            <w:div w:id="1274752896">
              <w:marLeft w:val="0"/>
              <w:marRight w:val="0"/>
              <w:marTop w:val="0"/>
              <w:marBottom w:val="0"/>
              <w:divBdr>
                <w:top w:val="none" w:sz="0" w:space="0" w:color="auto"/>
                <w:left w:val="none" w:sz="0" w:space="0" w:color="auto"/>
                <w:bottom w:val="none" w:sz="0" w:space="0" w:color="auto"/>
                <w:right w:val="none" w:sz="0" w:space="0" w:color="auto"/>
              </w:divBdr>
            </w:div>
          </w:divsChild>
        </w:div>
        <w:div w:id="1495951340">
          <w:marLeft w:val="0"/>
          <w:marRight w:val="0"/>
          <w:marTop w:val="0"/>
          <w:marBottom w:val="0"/>
          <w:divBdr>
            <w:top w:val="none" w:sz="0" w:space="0" w:color="auto"/>
            <w:left w:val="none" w:sz="0" w:space="0" w:color="auto"/>
            <w:bottom w:val="none" w:sz="0" w:space="0" w:color="auto"/>
            <w:right w:val="none" w:sz="0" w:space="0" w:color="auto"/>
          </w:divBdr>
        </w:div>
        <w:div w:id="1654484694">
          <w:marLeft w:val="0"/>
          <w:marRight w:val="0"/>
          <w:marTop w:val="0"/>
          <w:marBottom w:val="0"/>
          <w:divBdr>
            <w:top w:val="none" w:sz="0" w:space="0" w:color="auto"/>
            <w:left w:val="none" w:sz="0" w:space="0" w:color="auto"/>
            <w:bottom w:val="none" w:sz="0" w:space="0" w:color="auto"/>
            <w:right w:val="none" w:sz="0" w:space="0" w:color="auto"/>
          </w:divBdr>
        </w:div>
        <w:div w:id="585766996">
          <w:marLeft w:val="0"/>
          <w:marRight w:val="0"/>
          <w:marTop w:val="0"/>
          <w:marBottom w:val="0"/>
          <w:divBdr>
            <w:top w:val="none" w:sz="0" w:space="0" w:color="auto"/>
            <w:left w:val="none" w:sz="0" w:space="0" w:color="auto"/>
            <w:bottom w:val="none" w:sz="0" w:space="0" w:color="auto"/>
            <w:right w:val="none" w:sz="0" w:space="0" w:color="auto"/>
          </w:divBdr>
        </w:div>
        <w:div w:id="1713505781">
          <w:marLeft w:val="0"/>
          <w:marRight w:val="0"/>
          <w:marTop w:val="0"/>
          <w:marBottom w:val="0"/>
          <w:divBdr>
            <w:top w:val="none" w:sz="0" w:space="0" w:color="auto"/>
            <w:left w:val="none" w:sz="0" w:space="0" w:color="auto"/>
            <w:bottom w:val="none" w:sz="0" w:space="0" w:color="auto"/>
            <w:right w:val="none" w:sz="0" w:space="0" w:color="auto"/>
          </w:divBdr>
        </w:div>
        <w:div w:id="461582695">
          <w:marLeft w:val="0"/>
          <w:marRight w:val="0"/>
          <w:marTop w:val="0"/>
          <w:marBottom w:val="0"/>
          <w:divBdr>
            <w:top w:val="none" w:sz="0" w:space="0" w:color="auto"/>
            <w:left w:val="none" w:sz="0" w:space="0" w:color="auto"/>
            <w:bottom w:val="none" w:sz="0" w:space="0" w:color="auto"/>
            <w:right w:val="none" w:sz="0" w:space="0" w:color="auto"/>
          </w:divBdr>
        </w:div>
        <w:div w:id="1265305519">
          <w:marLeft w:val="0"/>
          <w:marRight w:val="0"/>
          <w:marTop w:val="0"/>
          <w:marBottom w:val="0"/>
          <w:divBdr>
            <w:top w:val="none" w:sz="0" w:space="0" w:color="auto"/>
            <w:left w:val="none" w:sz="0" w:space="0" w:color="auto"/>
            <w:bottom w:val="none" w:sz="0" w:space="0" w:color="auto"/>
            <w:right w:val="none" w:sz="0" w:space="0" w:color="auto"/>
          </w:divBdr>
        </w:div>
        <w:div w:id="1140614682">
          <w:marLeft w:val="0"/>
          <w:marRight w:val="0"/>
          <w:marTop w:val="0"/>
          <w:marBottom w:val="0"/>
          <w:divBdr>
            <w:top w:val="none" w:sz="0" w:space="0" w:color="auto"/>
            <w:left w:val="none" w:sz="0" w:space="0" w:color="auto"/>
            <w:bottom w:val="none" w:sz="0" w:space="0" w:color="auto"/>
            <w:right w:val="none" w:sz="0" w:space="0" w:color="auto"/>
          </w:divBdr>
        </w:div>
        <w:div w:id="210073916">
          <w:marLeft w:val="0"/>
          <w:marRight w:val="0"/>
          <w:marTop w:val="0"/>
          <w:marBottom w:val="0"/>
          <w:divBdr>
            <w:top w:val="none" w:sz="0" w:space="0" w:color="auto"/>
            <w:left w:val="none" w:sz="0" w:space="0" w:color="auto"/>
            <w:bottom w:val="none" w:sz="0" w:space="0" w:color="auto"/>
            <w:right w:val="none" w:sz="0" w:space="0" w:color="auto"/>
          </w:divBdr>
        </w:div>
        <w:div w:id="359480375">
          <w:marLeft w:val="0"/>
          <w:marRight w:val="0"/>
          <w:marTop w:val="0"/>
          <w:marBottom w:val="0"/>
          <w:divBdr>
            <w:top w:val="none" w:sz="0" w:space="0" w:color="auto"/>
            <w:left w:val="none" w:sz="0" w:space="0" w:color="auto"/>
            <w:bottom w:val="none" w:sz="0" w:space="0" w:color="auto"/>
            <w:right w:val="none" w:sz="0" w:space="0" w:color="auto"/>
          </w:divBdr>
        </w:div>
        <w:div w:id="712509074">
          <w:marLeft w:val="0"/>
          <w:marRight w:val="0"/>
          <w:marTop w:val="0"/>
          <w:marBottom w:val="0"/>
          <w:divBdr>
            <w:top w:val="none" w:sz="0" w:space="0" w:color="auto"/>
            <w:left w:val="none" w:sz="0" w:space="0" w:color="auto"/>
            <w:bottom w:val="none" w:sz="0" w:space="0" w:color="auto"/>
            <w:right w:val="none" w:sz="0" w:space="0" w:color="auto"/>
          </w:divBdr>
        </w:div>
        <w:div w:id="439836706">
          <w:marLeft w:val="0"/>
          <w:marRight w:val="0"/>
          <w:marTop w:val="0"/>
          <w:marBottom w:val="0"/>
          <w:divBdr>
            <w:top w:val="none" w:sz="0" w:space="0" w:color="auto"/>
            <w:left w:val="none" w:sz="0" w:space="0" w:color="auto"/>
            <w:bottom w:val="none" w:sz="0" w:space="0" w:color="auto"/>
            <w:right w:val="none" w:sz="0" w:space="0" w:color="auto"/>
          </w:divBdr>
        </w:div>
        <w:div w:id="636641612">
          <w:marLeft w:val="0"/>
          <w:marRight w:val="0"/>
          <w:marTop w:val="0"/>
          <w:marBottom w:val="0"/>
          <w:divBdr>
            <w:top w:val="none" w:sz="0" w:space="0" w:color="auto"/>
            <w:left w:val="none" w:sz="0" w:space="0" w:color="auto"/>
            <w:bottom w:val="none" w:sz="0" w:space="0" w:color="auto"/>
            <w:right w:val="none" w:sz="0" w:space="0" w:color="auto"/>
          </w:divBdr>
        </w:div>
        <w:div w:id="1424497747">
          <w:marLeft w:val="0"/>
          <w:marRight w:val="0"/>
          <w:marTop w:val="0"/>
          <w:marBottom w:val="0"/>
          <w:divBdr>
            <w:top w:val="none" w:sz="0" w:space="0" w:color="auto"/>
            <w:left w:val="none" w:sz="0" w:space="0" w:color="auto"/>
            <w:bottom w:val="none" w:sz="0" w:space="0" w:color="auto"/>
            <w:right w:val="none" w:sz="0" w:space="0" w:color="auto"/>
          </w:divBdr>
        </w:div>
        <w:div w:id="807743427">
          <w:marLeft w:val="0"/>
          <w:marRight w:val="0"/>
          <w:marTop w:val="0"/>
          <w:marBottom w:val="0"/>
          <w:divBdr>
            <w:top w:val="none" w:sz="0" w:space="0" w:color="auto"/>
            <w:left w:val="none" w:sz="0" w:space="0" w:color="auto"/>
            <w:bottom w:val="none" w:sz="0" w:space="0" w:color="auto"/>
            <w:right w:val="none" w:sz="0" w:space="0" w:color="auto"/>
          </w:divBdr>
        </w:div>
        <w:div w:id="1709791968">
          <w:marLeft w:val="0"/>
          <w:marRight w:val="0"/>
          <w:marTop w:val="0"/>
          <w:marBottom w:val="0"/>
          <w:divBdr>
            <w:top w:val="none" w:sz="0" w:space="0" w:color="auto"/>
            <w:left w:val="none" w:sz="0" w:space="0" w:color="auto"/>
            <w:bottom w:val="none" w:sz="0" w:space="0" w:color="auto"/>
            <w:right w:val="none" w:sz="0" w:space="0" w:color="auto"/>
          </w:divBdr>
        </w:div>
        <w:div w:id="1960598230">
          <w:marLeft w:val="0"/>
          <w:marRight w:val="0"/>
          <w:marTop w:val="0"/>
          <w:marBottom w:val="0"/>
          <w:divBdr>
            <w:top w:val="none" w:sz="0" w:space="0" w:color="auto"/>
            <w:left w:val="none" w:sz="0" w:space="0" w:color="auto"/>
            <w:bottom w:val="none" w:sz="0" w:space="0" w:color="auto"/>
            <w:right w:val="none" w:sz="0" w:space="0" w:color="auto"/>
          </w:divBdr>
        </w:div>
        <w:div w:id="1418670553">
          <w:marLeft w:val="0"/>
          <w:marRight w:val="0"/>
          <w:marTop w:val="0"/>
          <w:marBottom w:val="0"/>
          <w:divBdr>
            <w:top w:val="none" w:sz="0" w:space="0" w:color="auto"/>
            <w:left w:val="none" w:sz="0" w:space="0" w:color="auto"/>
            <w:bottom w:val="none" w:sz="0" w:space="0" w:color="auto"/>
            <w:right w:val="none" w:sz="0" w:space="0" w:color="auto"/>
          </w:divBdr>
        </w:div>
        <w:div w:id="1706247508">
          <w:marLeft w:val="0"/>
          <w:marRight w:val="0"/>
          <w:marTop w:val="0"/>
          <w:marBottom w:val="0"/>
          <w:divBdr>
            <w:top w:val="none" w:sz="0" w:space="0" w:color="auto"/>
            <w:left w:val="none" w:sz="0" w:space="0" w:color="auto"/>
            <w:bottom w:val="none" w:sz="0" w:space="0" w:color="auto"/>
            <w:right w:val="none" w:sz="0" w:space="0" w:color="auto"/>
          </w:divBdr>
        </w:div>
        <w:div w:id="1436824432">
          <w:marLeft w:val="0"/>
          <w:marRight w:val="0"/>
          <w:marTop w:val="0"/>
          <w:marBottom w:val="0"/>
          <w:divBdr>
            <w:top w:val="none" w:sz="0" w:space="0" w:color="auto"/>
            <w:left w:val="none" w:sz="0" w:space="0" w:color="auto"/>
            <w:bottom w:val="none" w:sz="0" w:space="0" w:color="auto"/>
            <w:right w:val="none" w:sz="0" w:space="0" w:color="auto"/>
          </w:divBdr>
        </w:div>
        <w:div w:id="1930187138">
          <w:marLeft w:val="0"/>
          <w:marRight w:val="0"/>
          <w:marTop w:val="0"/>
          <w:marBottom w:val="0"/>
          <w:divBdr>
            <w:top w:val="none" w:sz="0" w:space="0" w:color="auto"/>
            <w:left w:val="none" w:sz="0" w:space="0" w:color="auto"/>
            <w:bottom w:val="none" w:sz="0" w:space="0" w:color="auto"/>
            <w:right w:val="none" w:sz="0" w:space="0" w:color="auto"/>
          </w:divBdr>
        </w:div>
        <w:div w:id="2100561491">
          <w:marLeft w:val="0"/>
          <w:marRight w:val="0"/>
          <w:marTop w:val="0"/>
          <w:marBottom w:val="0"/>
          <w:divBdr>
            <w:top w:val="none" w:sz="0" w:space="0" w:color="auto"/>
            <w:left w:val="none" w:sz="0" w:space="0" w:color="auto"/>
            <w:bottom w:val="none" w:sz="0" w:space="0" w:color="auto"/>
            <w:right w:val="none" w:sz="0" w:space="0" w:color="auto"/>
          </w:divBdr>
        </w:div>
        <w:div w:id="666203076">
          <w:marLeft w:val="0"/>
          <w:marRight w:val="0"/>
          <w:marTop w:val="0"/>
          <w:marBottom w:val="0"/>
          <w:divBdr>
            <w:top w:val="none" w:sz="0" w:space="0" w:color="auto"/>
            <w:left w:val="none" w:sz="0" w:space="0" w:color="auto"/>
            <w:bottom w:val="none" w:sz="0" w:space="0" w:color="auto"/>
            <w:right w:val="none" w:sz="0" w:space="0" w:color="auto"/>
          </w:divBdr>
        </w:div>
        <w:div w:id="1556623685">
          <w:marLeft w:val="0"/>
          <w:marRight w:val="0"/>
          <w:marTop w:val="0"/>
          <w:marBottom w:val="0"/>
          <w:divBdr>
            <w:top w:val="none" w:sz="0" w:space="0" w:color="auto"/>
            <w:left w:val="none" w:sz="0" w:space="0" w:color="auto"/>
            <w:bottom w:val="none" w:sz="0" w:space="0" w:color="auto"/>
            <w:right w:val="none" w:sz="0" w:space="0" w:color="auto"/>
          </w:divBdr>
        </w:div>
        <w:div w:id="1087388340">
          <w:marLeft w:val="0"/>
          <w:marRight w:val="0"/>
          <w:marTop w:val="0"/>
          <w:marBottom w:val="0"/>
          <w:divBdr>
            <w:top w:val="none" w:sz="0" w:space="0" w:color="auto"/>
            <w:left w:val="none" w:sz="0" w:space="0" w:color="auto"/>
            <w:bottom w:val="none" w:sz="0" w:space="0" w:color="auto"/>
            <w:right w:val="none" w:sz="0" w:space="0" w:color="auto"/>
          </w:divBdr>
        </w:div>
        <w:div w:id="685055016">
          <w:marLeft w:val="0"/>
          <w:marRight w:val="0"/>
          <w:marTop w:val="0"/>
          <w:marBottom w:val="0"/>
          <w:divBdr>
            <w:top w:val="none" w:sz="0" w:space="0" w:color="auto"/>
            <w:left w:val="none" w:sz="0" w:space="0" w:color="auto"/>
            <w:bottom w:val="none" w:sz="0" w:space="0" w:color="auto"/>
            <w:right w:val="none" w:sz="0" w:space="0" w:color="auto"/>
          </w:divBdr>
        </w:div>
        <w:div w:id="724135538">
          <w:marLeft w:val="0"/>
          <w:marRight w:val="0"/>
          <w:marTop w:val="0"/>
          <w:marBottom w:val="0"/>
          <w:divBdr>
            <w:top w:val="none" w:sz="0" w:space="0" w:color="auto"/>
            <w:left w:val="none" w:sz="0" w:space="0" w:color="auto"/>
            <w:bottom w:val="none" w:sz="0" w:space="0" w:color="auto"/>
            <w:right w:val="none" w:sz="0" w:space="0" w:color="auto"/>
          </w:divBdr>
        </w:div>
        <w:div w:id="595671543">
          <w:marLeft w:val="0"/>
          <w:marRight w:val="0"/>
          <w:marTop w:val="0"/>
          <w:marBottom w:val="0"/>
          <w:divBdr>
            <w:top w:val="none" w:sz="0" w:space="0" w:color="auto"/>
            <w:left w:val="none" w:sz="0" w:space="0" w:color="auto"/>
            <w:bottom w:val="none" w:sz="0" w:space="0" w:color="auto"/>
            <w:right w:val="none" w:sz="0" w:space="0" w:color="auto"/>
          </w:divBdr>
        </w:div>
        <w:div w:id="1525098714">
          <w:marLeft w:val="0"/>
          <w:marRight w:val="0"/>
          <w:marTop w:val="0"/>
          <w:marBottom w:val="0"/>
          <w:divBdr>
            <w:top w:val="none" w:sz="0" w:space="0" w:color="auto"/>
            <w:left w:val="none" w:sz="0" w:space="0" w:color="auto"/>
            <w:bottom w:val="none" w:sz="0" w:space="0" w:color="auto"/>
            <w:right w:val="none" w:sz="0" w:space="0" w:color="auto"/>
          </w:divBdr>
        </w:div>
        <w:div w:id="1289703515">
          <w:marLeft w:val="0"/>
          <w:marRight w:val="0"/>
          <w:marTop w:val="0"/>
          <w:marBottom w:val="0"/>
          <w:divBdr>
            <w:top w:val="none" w:sz="0" w:space="0" w:color="auto"/>
            <w:left w:val="none" w:sz="0" w:space="0" w:color="auto"/>
            <w:bottom w:val="none" w:sz="0" w:space="0" w:color="auto"/>
            <w:right w:val="none" w:sz="0" w:space="0" w:color="auto"/>
          </w:divBdr>
        </w:div>
        <w:div w:id="1603494185">
          <w:marLeft w:val="0"/>
          <w:marRight w:val="0"/>
          <w:marTop w:val="0"/>
          <w:marBottom w:val="0"/>
          <w:divBdr>
            <w:top w:val="none" w:sz="0" w:space="0" w:color="auto"/>
            <w:left w:val="none" w:sz="0" w:space="0" w:color="auto"/>
            <w:bottom w:val="none" w:sz="0" w:space="0" w:color="auto"/>
            <w:right w:val="none" w:sz="0" w:space="0" w:color="auto"/>
          </w:divBdr>
        </w:div>
        <w:div w:id="30157078">
          <w:marLeft w:val="0"/>
          <w:marRight w:val="0"/>
          <w:marTop w:val="0"/>
          <w:marBottom w:val="0"/>
          <w:divBdr>
            <w:top w:val="none" w:sz="0" w:space="0" w:color="auto"/>
            <w:left w:val="none" w:sz="0" w:space="0" w:color="auto"/>
            <w:bottom w:val="none" w:sz="0" w:space="0" w:color="auto"/>
            <w:right w:val="none" w:sz="0" w:space="0" w:color="auto"/>
          </w:divBdr>
        </w:div>
        <w:div w:id="896282315">
          <w:marLeft w:val="0"/>
          <w:marRight w:val="0"/>
          <w:marTop w:val="0"/>
          <w:marBottom w:val="0"/>
          <w:divBdr>
            <w:top w:val="none" w:sz="0" w:space="0" w:color="auto"/>
            <w:left w:val="none" w:sz="0" w:space="0" w:color="auto"/>
            <w:bottom w:val="none" w:sz="0" w:space="0" w:color="auto"/>
            <w:right w:val="none" w:sz="0" w:space="0" w:color="auto"/>
          </w:divBdr>
        </w:div>
        <w:div w:id="1000081218">
          <w:marLeft w:val="0"/>
          <w:marRight w:val="0"/>
          <w:marTop w:val="0"/>
          <w:marBottom w:val="0"/>
          <w:divBdr>
            <w:top w:val="none" w:sz="0" w:space="0" w:color="auto"/>
            <w:left w:val="none" w:sz="0" w:space="0" w:color="auto"/>
            <w:bottom w:val="none" w:sz="0" w:space="0" w:color="auto"/>
            <w:right w:val="none" w:sz="0" w:space="0" w:color="auto"/>
          </w:divBdr>
        </w:div>
        <w:div w:id="2014256802">
          <w:marLeft w:val="0"/>
          <w:marRight w:val="0"/>
          <w:marTop w:val="0"/>
          <w:marBottom w:val="0"/>
          <w:divBdr>
            <w:top w:val="none" w:sz="0" w:space="0" w:color="auto"/>
            <w:left w:val="none" w:sz="0" w:space="0" w:color="auto"/>
            <w:bottom w:val="none" w:sz="0" w:space="0" w:color="auto"/>
            <w:right w:val="none" w:sz="0" w:space="0" w:color="auto"/>
          </w:divBdr>
        </w:div>
        <w:div w:id="856044456">
          <w:marLeft w:val="0"/>
          <w:marRight w:val="0"/>
          <w:marTop w:val="0"/>
          <w:marBottom w:val="0"/>
          <w:divBdr>
            <w:top w:val="none" w:sz="0" w:space="0" w:color="auto"/>
            <w:left w:val="none" w:sz="0" w:space="0" w:color="auto"/>
            <w:bottom w:val="none" w:sz="0" w:space="0" w:color="auto"/>
            <w:right w:val="none" w:sz="0" w:space="0" w:color="auto"/>
          </w:divBdr>
        </w:div>
        <w:div w:id="1393697129">
          <w:marLeft w:val="0"/>
          <w:marRight w:val="0"/>
          <w:marTop w:val="0"/>
          <w:marBottom w:val="0"/>
          <w:divBdr>
            <w:top w:val="none" w:sz="0" w:space="0" w:color="auto"/>
            <w:left w:val="none" w:sz="0" w:space="0" w:color="auto"/>
            <w:bottom w:val="none" w:sz="0" w:space="0" w:color="auto"/>
            <w:right w:val="none" w:sz="0" w:space="0" w:color="auto"/>
          </w:divBdr>
        </w:div>
        <w:div w:id="1480220764">
          <w:marLeft w:val="0"/>
          <w:marRight w:val="0"/>
          <w:marTop w:val="0"/>
          <w:marBottom w:val="0"/>
          <w:divBdr>
            <w:top w:val="none" w:sz="0" w:space="0" w:color="auto"/>
            <w:left w:val="none" w:sz="0" w:space="0" w:color="auto"/>
            <w:bottom w:val="none" w:sz="0" w:space="0" w:color="auto"/>
            <w:right w:val="none" w:sz="0" w:space="0" w:color="auto"/>
          </w:divBdr>
        </w:div>
        <w:div w:id="1544637205">
          <w:marLeft w:val="0"/>
          <w:marRight w:val="0"/>
          <w:marTop w:val="0"/>
          <w:marBottom w:val="0"/>
          <w:divBdr>
            <w:top w:val="none" w:sz="0" w:space="0" w:color="auto"/>
            <w:left w:val="none" w:sz="0" w:space="0" w:color="auto"/>
            <w:bottom w:val="none" w:sz="0" w:space="0" w:color="auto"/>
            <w:right w:val="none" w:sz="0" w:space="0" w:color="auto"/>
          </w:divBdr>
        </w:div>
        <w:div w:id="212236742">
          <w:marLeft w:val="0"/>
          <w:marRight w:val="0"/>
          <w:marTop w:val="0"/>
          <w:marBottom w:val="0"/>
          <w:divBdr>
            <w:top w:val="none" w:sz="0" w:space="0" w:color="auto"/>
            <w:left w:val="none" w:sz="0" w:space="0" w:color="auto"/>
            <w:bottom w:val="none" w:sz="0" w:space="0" w:color="auto"/>
            <w:right w:val="none" w:sz="0" w:space="0" w:color="auto"/>
          </w:divBdr>
        </w:div>
        <w:div w:id="1495296258">
          <w:marLeft w:val="0"/>
          <w:marRight w:val="0"/>
          <w:marTop w:val="0"/>
          <w:marBottom w:val="0"/>
          <w:divBdr>
            <w:top w:val="none" w:sz="0" w:space="0" w:color="auto"/>
            <w:left w:val="none" w:sz="0" w:space="0" w:color="auto"/>
            <w:bottom w:val="none" w:sz="0" w:space="0" w:color="auto"/>
            <w:right w:val="none" w:sz="0" w:space="0" w:color="auto"/>
          </w:divBdr>
        </w:div>
        <w:div w:id="647169192">
          <w:marLeft w:val="0"/>
          <w:marRight w:val="0"/>
          <w:marTop w:val="0"/>
          <w:marBottom w:val="0"/>
          <w:divBdr>
            <w:top w:val="none" w:sz="0" w:space="0" w:color="auto"/>
            <w:left w:val="none" w:sz="0" w:space="0" w:color="auto"/>
            <w:bottom w:val="none" w:sz="0" w:space="0" w:color="auto"/>
            <w:right w:val="none" w:sz="0" w:space="0" w:color="auto"/>
          </w:divBdr>
        </w:div>
        <w:div w:id="432626404">
          <w:marLeft w:val="0"/>
          <w:marRight w:val="0"/>
          <w:marTop w:val="0"/>
          <w:marBottom w:val="0"/>
          <w:divBdr>
            <w:top w:val="none" w:sz="0" w:space="0" w:color="auto"/>
            <w:left w:val="none" w:sz="0" w:space="0" w:color="auto"/>
            <w:bottom w:val="none" w:sz="0" w:space="0" w:color="auto"/>
            <w:right w:val="none" w:sz="0" w:space="0" w:color="auto"/>
          </w:divBdr>
        </w:div>
        <w:div w:id="1975718431">
          <w:marLeft w:val="0"/>
          <w:marRight w:val="0"/>
          <w:marTop w:val="0"/>
          <w:marBottom w:val="0"/>
          <w:divBdr>
            <w:top w:val="none" w:sz="0" w:space="0" w:color="auto"/>
            <w:left w:val="none" w:sz="0" w:space="0" w:color="auto"/>
            <w:bottom w:val="none" w:sz="0" w:space="0" w:color="auto"/>
            <w:right w:val="none" w:sz="0" w:space="0" w:color="auto"/>
          </w:divBdr>
        </w:div>
        <w:div w:id="1068185032">
          <w:marLeft w:val="0"/>
          <w:marRight w:val="0"/>
          <w:marTop w:val="0"/>
          <w:marBottom w:val="0"/>
          <w:divBdr>
            <w:top w:val="none" w:sz="0" w:space="0" w:color="auto"/>
            <w:left w:val="none" w:sz="0" w:space="0" w:color="auto"/>
            <w:bottom w:val="none" w:sz="0" w:space="0" w:color="auto"/>
            <w:right w:val="none" w:sz="0" w:space="0" w:color="auto"/>
          </w:divBdr>
        </w:div>
        <w:div w:id="1348949149">
          <w:marLeft w:val="0"/>
          <w:marRight w:val="0"/>
          <w:marTop w:val="0"/>
          <w:marBottom w:val="0"/>
          <w:divBdr>
            <w:top w:val="none" w:sz="0" w:space="0" w:color="auto"/>
            <w:left w:val="none" w:sz="0" w:space="0" w:color="auto"/>
            <w:bottom w:val="none" w:sz="0" w:space="0" w:color="auto"/>
            <w:right w:val="none" w:sz="0" w:space="0" w:color="auto"/>
          </w:divBdr>
        </w:div>
        <w:div w:id="506215346">
          <w:marLeft w:val="0"/>
          <w:marRight w:val="0"/>
          <w:marTop w:val="0"/>
          <w:marBottom w:val="0"/>
          <w:divBdr>
            <w:top w:val="none" w:sz="0" w:space="0" w:color="auto"/>
            <w:left w:val="none" w:sz="0" w:space="0" w:color="auto"/>
            <w:bottom w:val="none" w:sz="0" w:space="0" w:color="auto"/>
            <w:right w:val="none" w:sz="0" w:space="0" w:color="auto"/>
          </w:divBdr>
        </w:div>
        <w:div w:id="1188180365">
          <w:marLeft w:val="0"/>
          <w:marRight w:val="0"/>
          <w:marTop w:val="0"/>
          <w:marBottom w:val="0"/>
          <w:divBdr>
            <w:top w:val="none" w:sz="0" w:space="0" w:color="auto"/>
            <w:left w:val="none" w:sz="0" w:space="0" w:color="auto"/>
            <w:bottom w:val="none" w:sz="0" w:space="0" w:color="auto"/>
            <w:right w:val="none" w:sz="0" w:space="0" w:color="auto"/>
          </w:divBdr>
        </w:div>
        <w:div w:id="1926645566">
          <w:marLeft w:val="0"/>
          <w:marRight w:val="0"/>
          <w:marTop w:val="0"/>
          <w:marBottom w:val="0"/>
          <w:divBdr>
            <w:top w:val="none" w:sz="0" w:space="0" w:color="auto"/>
            <w:left w:val="none" w:sz="0" w:space="0" w:color="auto"/>
            <w:bottom w:val="none" w:sz="0" w:space="0" w:color="auto"/>
            <w:right w:val="none" w:sz="0" w:space="0" w:color="auto"/>
          </w:divBdr>
        </w:div>
        <w:div w:id="11689795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186A52-D486-4A5E-B098-A9C5A79D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2358</Words>
  <Characters>13442</Characters>
  <Application>Microsoft Office Word</Application>
  <DocSecurity>0</DocSecurity>
  <Lines>112</Lines>
  <Paragraphs>31</Paragraphs>
  <ScaleCrop>false</ScaleCrop>
  <Company>Microsoft</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中共潼南区委办公室</dc:creator>
  <cp:lastModifiedBy>Administrator</cp:lastModifiedBy>
  <cp:revision>6</cp:revision>
  <cp:lastPrinted>2020-08-18T08:02:00Z</cp:lastPrinted>
  <dcterms:created xsi:type="dcterms:W3CDTF">2020-08-19T02:13:00Z</dcterms:created>
  <dcterms:modified xsi:type="dcterms:W3CDTF">2020-08-19T02:55:00Z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